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CBDB57B">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E91E1E3">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F5F38F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4DD7B84">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2E4577A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5374F5D1">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66BACC8C">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236475DB">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DAA9377">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1C72DC42">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2AE0E9C4">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1910EE7">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764B798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szCs w:val="21"/>
        </w:rPr>
        <mc:AlternateContent>
          <mc:Choice Requires="wps">
            <w:drawing>
              <wp:inline distT="0" distB="0" distL="114300" distR="114300">
                <wp:extent cx="4810125" cy="1936750"/>
                <wp:effectExtent l="0" t="0" r="0" b="0"/>
                <wp:docPr id="6" name="文本框 6"/>
                <wp:cNvGraphicFramePr/>
                <a:graphic xmlns:a="http://schemas.openxmlformats.org/drawingml/2006/main">
                  <a:graphicData uri="http://schemas.microsoft.com/office/word/2010/wordprocessingShape">
                    <wps:wsp>
                      <wps:cNvSpPr txBox="1"/>
                      <wps:spPr>
                        <a:xfrm>
                          <a:off x="0" y="0"/>
                          <a:ext cx="4810125" cy="1936750"/>
                        </a:xfrm>
                        <a:prstGeom prst="rect">
                          <a:avLst/>
                        </a:prstGeom>
                        <a:noFill/>
                        <a:ln>
                          <a:noFill/>
                        </a:ln>
                      </wps:spPr>
                      <wps:txbx>
                        <w:txbxContent>
                          <w:p w14:paraId="357CC15D">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wps:txbx>
                      <wps:bodyPr anchor="ctr" anchorCtr="0" upright="1"/>
                    </wps:wsp>
                  </a:graphicData>
                </a:graphic>
              </wp:inline>
            </w:drawing>
          </mc:Choice>
          <mc:Fallback>
            <w:pict>
              <v:shape id="_x0000_s1026" o:spid="_x0000_s1026" o:spt="202" type="#_x0000_t202" style="height:152.5pt;width:378.75pt;v-text-anchor:middle;" filled="f" stroked="f" coordsize="21600,21600" o:gfxdata="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3lAJH1QAAAAUBAAAPAAAAAAAAAAEAIAAAACIAAABkcnMvZG93bnJldi54bWxQSwEC&#10;FAAUAAAACACHTuJAu6haaL4BAABqAwAADgAAAAAAAAABACAAAAAkAQAAZHJzL2Uyb0RvYy54bWxQ&#10;SwUGAAAAAAYABgBZAQAAVAUAAAAA&#10;">
                <v:fill on="f" focussize="0,0"/>
                <v:stroke on="f"/>
                <v:imagedata o:title=""/>
                <o:lock v:ext="edit" aspectratio="f"/>
                <v:textbox>
                  <w:txbxContent>
                    <w:p w14:paraId="357CC15D">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v:textbox>
                <w10:wrap type="none"/>
                <w10:anchorlock/>
              </v:shape>
            </w:pict>
          </mc:Fallback>
        </mc:AlternateContent>
      </w:r>
    </w:p>
    <w:p w14:paraId="5B0F1B85">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E463C82">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F609F2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21C9D67">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D282DE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D824B5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937C63A">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8974692">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30B214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44E0D62">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EA8675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B48D8A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BB4E262">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4754BDF">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CD01FF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53A62D4">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D5F0DF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16BF4EF">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907FFBB">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868A61B">
      <w:pPr>
        <w:keepNext w:val="0"/>
        <w:keepLines w:val="0"/>
        <w:pageBreakBefore w:val="0"/>
        <w:widowControl w:val="0"/>
        <w:kinsoku/>
        <w:wordWrap/>
        <w:overflowPunct/>
        <w:topLinePunct w:val="0"/>
        <w:autoSpaceDE/>
        <w:autoSpaceDN/>
        <w:bidi w:val="0"/>
        <w:adjustRightInd/>
        <w:snapToGrid/>
        <w:jc w:val="both"/>
        <w:textAlignment w:val="auto"/>
        <w:rPr>
          <w:sz w:val="21"/>
          <w:szCs w:val="21"/>
        </w:rPr>
      </w:pPr>
    </w:p>
    <w:p w14:paraId="09F68C1F">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18FFE0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7D09B32">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rPr>
        <mc:AlternateContent>
          <mc:Choice Requires="wps">
            <w:drawing>
              <wp:inline distT="0" distB="0" distL="114300" distR="114300">
                <wp:extent cx="2160270" cy="539750"/>
                <wp:effectExtent l="0" t="0" r="11430" b="12700"/>
                <wp:docPr id="7" name="文本框 7"/>
                <wp:cNvGraphicFramePr/>
                <a:graphic xmlns:a="http://schemas.openxmlformats.org/drawingml/2006/main">
                  <a:graphicData uri="http://schemas.microsoft.com/office/word/2010/wordprocessingShape">
                    <wps:wsp>
                      <wps:cNvSpPr txBox="1"/>
                      <wps:spPr>
                        <a:xfrm>
                          <a:off x="2269490" y="8509635"/>
                          <a:ext cx="2160270" cy="539750"/>
                        </a:xfrm>
                        <a:prstGeom prst="round2SameRect">
                          <a:avLst/>
                        </a:prstGeom>
                        <a:solidFill>
                          <a:schemeClr val="bg1">
                            <a:alpha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0755335D">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w:pict>
              <v:shape id="_x0000_s1026" o:spid="_x0000_s1026" style="height:42.5pt;width:170.1pt;v-text-anchor:middle;" fillcolor="#FFFFFF [3212]" filled="t" stroked="f" coordsize="2160270,539750" o:gfxdata="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fjQmldQAAAAEAQAADwAAAAAAAAABACAAAAAiAAAAZHJzL2Rvd25y&#10;ZXYueG1sUEsBAhQAFAAAAAgAh07iQGiigMp0AgAAyAQAAA4AAAAAAAAAAQAgAAAAIwEAAGRycy9l&#10;Mm9Eb2MueG1sUEsFBgAAAAAGAAYAWQEAAAkGAAAAAA==&#10;" path="m89960,0l2070309,0c2119993,0,2160269,40276,2160269,89960l2160270,539750,2160270,539750,0,539750,0,539750,0,89960c0,40276,40276,0,89960,0xe">
                <v:path textboxrect="0,0,2160270,539750" o:connectlocs="2160270,269875;1080135,539750;0,269875;1080135,0" o:connectangles="0,82,164,247"/>
                <v:fill on="t" opacity="52428f" focussize="0,0"/>
                <v:stroke on="f" weight="0.5pt"/>
                <v:imagedata o:title=""/>
                <o:lock v:ext="edit" aspectratio="f"/>
                <v:textbox>
                  <w:txbxContent>
                    <w:p w14:paraId="0755335D">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v:textbox>
                <w10:wrap type="none"/>
                <w10:anchorlock/>
              </v:shape>
            </w:pict>
          </mc:Fallback>
        </mc:AlternateContent>
      </w:r>
    </w:p>
    <w:p w14:paraId="1AC6B543">
      <w:pPr>
        <w:keepNext w:val="0"/>
        <w:keepLines w:val="0"/>
        <w:pageBreakBefore w:val="0"/>
        <w:widowControl w:val="0"/>
        <w:kinsoku/>
        <w:wordWrap/>
        <w:overflowPunct/>
        <w:topLinePunct w:val="0"/>
        <w:autoSpaceDE/>
        <w:autoSpaceDN/>
        <w:bidi w:val="0"/>
        <w:adjustRightInd/>
        <w:snapToGrid/>
        <w:jc w:val="center"/>
        <w:textAlignment w:val="auto"/>
        <w:rPr>
          <w:sz w:val="21"/>
          <w:szCs w:val="21"/>
        </w:rPr>
        <w:sectPr>
          <w:headerReference r:id="rId5" w:type="first"/>
          <w:headerReference r:id="rId3" w:type="default"/>
          <w:headerReference r:id="rId4" w:type="even"/>
          <w:footerReference r:id="rId6" w:type="even"/>
          <w:pgSz w:w="11906" w:h="16838"/>
          <w:pgMar w:top="850" w:right="567" w:bottom="850" w:left="567" w:header="851" w:footer="850" w:gutter="0"/>
          <w:pgBorders>
            <w:top w:val="none" w:sz="0" w:space="0"/>
            <w:left w:val="none" w:sz="0" w:space="0"/>
            <w:bottom w:val="none" w:sz="0" w:space="0"/>
            <w:right w:val="none" w:sz="0" w:space="0"/>
          </w:pgBorders>
          <w:cols w:space="425" w:num="1"/>
          <w:titlePg/>
          <w:docGrid w:type="lines" w:linePitch="312" w:charSpace="0"/>
        </w:sectPr>
      </w:pPr>
    </w:p>
    <w:p w14:paraId="4381CB0B">
      <w:pPr>
        <w:jc w:val="center"/>
        <w:rPr>
          <w:rFonts w:hint="eastAsia" w:ascii="黑体" w:hAnsi="黑体" w:eastAsia="黑体" w:cs="黑体"/>
          <w:b w:val="0"/>
          <w:bCs w:val="0"/>
          <w:color w:val="000000" w:themeColor="text1"/>
          <w:sz w:val="44"/>
          <w:szCs w:val="44"/>
          <w:lang w:eastAsia="zh-CN"/>
          <w14:textFill>
            <w14:solidFill>
              <w14:schemeClr w14:val="tx1"/>
            </w14:solidFill>
          </w14:textFill>
        </w:rPr>
      </w:pPr>
      <w:r>
        <w:rPr>
          <w:rFonts w:hint="eastAsia" w:ascii="黑体" w:hAnsi="黑体" w:eastAsia="黑体" w:cs="黑体"/>
          <w:b w:val="0"/>
          <w:bCs w:val="0"/>
          <w:color w:val="auto"/>
          <w:sz w:val="44"/>
          <w:szCs w:val="44"/>
          <w:lang w:eastAsia="zh-CN"/>
        </w:rPr>
        <w:t>课时分配表</w:t>
      </w:r>
    </w:p>
    <w:tbl>
      <w:tblPr>
        <w:tblStyle w:val="7"/>
        <w:tblW w:w="10205"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dotted" w:color="4472C4" w:themeColor="accent1" w:sz="4" w:space="0"/>
          <w:insideV w:val="dotted" w:color="4472C4" w:themeColor="accent1" w:sz="4" w:space="0"/>
        </w:tblBorders>
        <w:tblLayout w:type="autofit"/>
        <w:tblCellMar>
          <w:top w:w="0" w:type="dxa"/>
          <w:left w:w="108" w:type="dxa"/>
          <w:bottom w:w="0" w:type="dxa"/>
          <w:right w:w="108" w:type="dxa"/>
        </w:tblCellMar>
      </w:tblPr>
      <w:tblGrid>
        <w:gridCol w:w="1176"/>
        <w:gridCol w:w="5269"/>
        <w:gridCol w:w="1735"/>
        <w:gridCol w:w="2025"/>
      </w:tblGrid>
      <w:tr w14:paraId="71C55369">
        <w:trPr>
          <w:trHeight w:val="850" w:hRule="atLeast"/>
          <w:jc w:val="center"/>
        </w:trPr>
        <w:tc>
          <w:tcPr>
            <w:tcW w:w="1176" w:type="dxa"/>
            <w:tcBorders>
              <w:bottom w:val="single" w:color="4472C4" w:themeColor="accent1" w:sz="4" w:space="0"/>
            </w:tcBorders>
            <w:shd w:val="clear" w:color="auto" w:fill="00B0F0"/>
            <w:vAlign w:val="center"/>
          </w:tcPr>
          <w:p w14:paraId="15C1E2F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章序</w:t>
            </w:r>
          </w:p>
        </w:tc>
        <w:tc>
          <w:tcPr>
            <w:tcW w:w="5269" w:type="dxa"/>
            <w:tcBorders>
              <w:bottom w:val="single" w:color="4472C4" w:themeColor="accent1" w:sz="4" w:space="0"/>
            </w:tcBorders>
            <w:shd w:val="clear" w:color="auto" w:fill="00B0F0"/>
            <w:vAlign w:val="center"/>
          </w:tcPr>
          <w:p w14:paraId="2A542CA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课程内容</w:t>
            </w:r>
          </w:p>
        </w:tc>
        <w:tc>
          <w:tcPr>
            <w:tcW w:w="1735" w:type="dxa"/>
            <w:tcBorders>
              <w:bottom w:val="single" w:color="4472C4" w:themeColor="accent1" w:sz="4" w:space="0"/>
            </w:tcBorders>
            <w:shd w:val="clear" w:color="auto" w:fill="00B0F0"/>
            <w:vAlign w:val="center"/>
          </w:tcPr>
          <w:p w14:paraId="2EFDFA6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课时</w:t>
            </w:r>
          </w:p>
        </w:tc>
        <w:tc>
          <w:tcPr>
            <w:tcW w:w="2025" w:type="dxa"/>
            <w:tcBorders>
              <w:bottom w:val="single" w:color="4472C4" w:themeColor="accent1" w:sz="4" w:space="0"/>
            </w:tcBorders>
            <w:shd w:val="clear" w:color="auto" w:fill="00B0F0"/>
            <w:vAlign w:val="center"/>
          </w:tcPr>
          <w:p w14:paraId="297349D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备注</w:t>
            </w:r>
          </w:p>
        </w:tc>
      </w:tr>
      <w:tr w14:paraId="61DFFED1">
        <w:trPr>
          <w:trHeight w:val="850" w:hRule="atLeast"/>
          <w:jc w:val="center"/>
        </w:trPr>
        <w:tc>
          <w:tcPr>
            <w:tcW w:w="1176" w:type="dxa"/>
            <w:tcBorders>
              <w:top w:val="single" w:color="4472C4" w:themeColor="accent1" w:sz="4" w:space="0"/>
              <w:tl2br w:val="nil"/>
              <w:tr2bl w:val="nil"/>
            </w:tcBorders>
            <w:shd w:val="clear" w:color="auto" w:fill="9FECFF"/>
            <w:vAlign w:val="center"/>
          </w:tcPr>
          <w:p w14:paraId="2528F6A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op w:val="single" w:color="4472C4" w:themeColor="accent1" w:sz="4" w:space="0"/>
              <w:tl2br w:val="nil"/>
              <w:tr2bl w:val="nil"/>
            </w:tcBorders>
            <w:shd w:val="clear" w:color="auto" w:fill="FFFFFF"/>
            <w:vAlign w:val="center"/>
          </w:tcPr>
          <w:p w14:paraId="304C1D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初识人工智能</w:t>
            </w:r>
          </w:p>
        </w:tc>
        <w:tc>
          <w:tcPr>
            <w:tcW w:w="1735" w:type="dxa"/>
            <w:tcBorders>
              <w:top w:val="single" w:color="4472C4" w:themeColor="accent1" w:sz="4" w:space="0"/>
              <w:tl2br w:val="nil"/>
              <w:tr2bl w:val="nil"/>
            </w:tcBorders>
            <w:shd w:val="clear" w:color="auto" w:fill="E1FAFF"/>
            <w:vAlign w:val="center"/>
          </w:tcPr>
          <w:p w14:paraId="709EC3A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op w:val="single" w:color="4472C4" w:themeColor="accent1" w:sz="4" w:space="0"/>
              <w:tl2br w:val="nil"/>
              <w:tr2bl w:val="nil"/>
            </w:tcBorders>
            <w:shd w:val="clear" w:color="auto" w:fill="FFFFFF"/>
            <w:vAlign w:val="center"/>
          </w:tcPr>
          <w:p w14:paraId="47AC3B3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018ADA">
        <w:trPr>
          <w:trHeight w:val="850" w:hRule="atLeast"/>
          <w:jc w:val="center"/>
        </w:trPr>
        <w:tc>
          <w:tcPr>
            <w:tcW w:w="1176" w:type="dxa"/>
            <w:tcBorders>
              <w:tl2br w:val="nil"/>
              <w:tr2bl w:val="nil"/>
            </w:tcBorders>
            <w:shd w:val="clear" w:color="auto" w:fill="9FECFF"/>
            <w:vAlign w:val="center"/>
          </w:tcPr>
          <w:p w14:paraId="6800048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42303F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人工智能应用</w:t>
            </w:r>
          </w:p>
        </w:tc>
        <w:tc>
          <w:tcPr>
            <w:tcW w:w="1735" w:type="dxa"/>
            <w:tcBorders>
              <w:tl2br w:val="nil"/>
              <w:tr2bl w:val="nil"/>
            </w:tcBorders>
            <w:shd w:val="clear" w:color="auto" w:fill="E1FAFF"/>
            <w:vAlign w:val="center"/>
          </w:tcPr>
          <w:p w14:paraId="5C56082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7</w:t>
            </w:r>
          </w:p>
        </w:tc>
        <w:tc>
          <w:tcPr>
            <w:tcW w:w="2025" w:type="dxa"/>
            <w:tcBorders>
              <w:tl2br w:val="nil"/>
              <w:tr2bl w:val="nil"/>
            </w:tcBorders>
            <w:shd w:val="clear" w:color="auto" w:fill="FFFFFF"/>
            <w:vAlign w:val="center"/>
          </w:tcPr>
          <w:p w14:paraId="6867ED8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193F4E30">
        <w:trPr>
          <w:trHeight w:val="850" w:hRule="atLeast"/>
          <w:jc w:val="center"/>
        </w:trPr>
        <w:tc>
          <w:tcPr>
            <w:tcW w:w="1176" w:type="dxa"/>
            <w:tcBorders>
              <w:tl2br w:val="nil"/>
              <w:tr2bl w:val="nil"/>
            </w:tcBorders>
            <w:shd w:val="clear" w:color="auto" w:fill="9FECFF"/>
            <w:vAlign w:val="center"/>
          </w:tcPr>
          <w:p w14:paraId="2E17F2B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027A7BB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新一代人工智能生态</w:t>
            </w:r>
          </w:p>
        </w:tc>
        <w:tc>
          <w:tcPr>
            <w:tcW w:w="1735" w:type="dxa"/>
            <w:tcBorders>
              <w:tl2br w:val="nil"/>
              <w:tr2bl w:val="nil"/>
            </w:tcBorders>
            <w:shd w:val="clear" w:color="auto" w:fill="E1FAFF"/>
            <w:vAlign w:val="center"/>
          </w:tcPr>
          <w:p w14:paraId="1C754E3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19AAF96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1677B52F">
        <w:trPr>
          <w:trHeight w:val="850" w:hRule="atLeast"/>
          <w:jc w:val="center"/>
        </w:trPr>
        <w:tc>
          <w:tcPr>
            <w:tcW w:w="1176" w:type="dxa"/>
            <w:tcBorders>
              <w:tl2br w:val="nil"/>
              <w:tr2bl w:val="nil"/>
            </w:tcBorders>
            <w:shd w:val="clear" w:color="auto" w:fill="9FECFF"/>
            <w:vAlign w:val="center"/>
          </w:tcPr>
          <w:p w14:paraId="3A2F9CD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1CB417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大模型实践 </w:t>
            </w:r>
          </w:p>
        </w:tc>
        <w:tc>
          <w:tcPr>
            <w:tcW w:w="1735" w:type="dxa"/>
            <w:tcBorders>
              <w:tl2br w:val="nil"/>
              <w:tr2bl w:val="nil"/>
            </w:tcBorders>
            <w:shd w:val="clear" w:color="auto" w:fill="E1FAFF"/>
            <w:vAlign w:val="center"/>
          </w:tcPr>
          <w:p w14:paraId="2C3E622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55B1A4C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18F37802">
        <w:trPr>
          <w:trHeight w:val="850" w:hRule="atLeast"/>
          <w:jc w:val="center"/>
        </w:trPr>
        <w:tc>
          <w:tcPr>
            <w:tcW w:w="1176" w:type="dxa"/>
            <w:tcBorders>
              <w:tl2br w:val="nil"/>
              <w:tr2bl w:val="nil"/>
            </w:tcBorders>
            <w:shd w:val="clear" w:color="auto" w:fill="9FECFF"/>
            <w:vAlign w:val="center"/>
          </w:tcPr>
          <w:p w14:paraId="6E65149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52FF6D0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人工智能伦理</w:t>
            </w:r>
          </w:p>
        </w:tc>
        <w:tc>
          <w:tcPr>
            <w:tcW w:w="1735" w:type="dxa"/>
            <w:tcBorders>
              <w:tl2br w:val="nil"/>
              <w:tr2bl w:val="nil"/>
            </w:tcBorders>
            <w:shd w:val="clear" w:color="auto" w:fill="E1FAFF"/>
            <w:vAlign w:val="center"/>
          </w:tcPr>
          <w:p w14:paraId="052F143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8</w:t>
            </w:r>
          </w:p>
        </w:tc>
        <w:tc>
          <w:tcPr>
            <w:tcW w:w="2025" w:type="dxa"/>
            <w:tcBorders>
              <w:tl2br w:val="nil"/>
              <w:tr2bl w:val="nil"/>
            </w:tcBorders>
            <w:shd w:val="clear" w:color="auto" w:fill="FFFFFF"/>
            <w:vAlign w:val="center"/>
          </w:tcPr>
          <w:p w14:paraId="07A68D9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001A3C5">
        <w:trPr>
          <w:trHeight w:val="850" w:hRule="atLeast"/>
          <w:jc w:val="center"/>
        </w:trPr>
        <w:tc>
          <w:tcPr>
            <w:tcW w:w="1176" w:type="dxa"/>
            <w:tcBorders>
              <w:tl2br w:val="nil"/>
              <w:tr2bl w:val="nil"/>
            </w:tcBorders>
            <w:shd w:val="clear" w:color="auto" w:fill="9FECFF"/>
            <w:vAlign w:val="center"/>
          </w:tcPr>
          <w:p w14:paraId="4E0B825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4E45A2F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机器学习 </w:t>
            </w:r>
          </w:p>
        </w:tc>
        <w:tc>
          <w:tcPr>
            <w:tcW w:w="1735" w:type="dxa"/>
            <w:tcBorders>
              <w:tl2br w:val="nil"/>
              <w:tr2bl w:val="nil"/>
            </w:tcBorders>
            <w:shd w:val="clear" w:color="auto" w:fill="E1FAFF"/>
            <w:vAlign w:val="center"/>
          </w:tcPr>
          <w:p w14:paraId="21D6A6E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07024C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272DF9F3">
        <w:trPr>
          <w:trHeight w:val="850" w:hRule="atLeast"/>
          <w:jc w:val="center"/>
        </w:trPr>
        <w:tc>
          <w:tcPr>
            <w:tcW w:w="1176" w:type="dxa"/>
            <w:tcBorders>
              <w:tl2br w:val="nil"/>
              <w:tr2bl w:val="nil"/>
            </w:tcBorders>
            <w:shd w:val="clear" w:color="auto" w:fill="9FECFF"/>
            <w:vAlign w:val="center"/>
          </w:tcPr>
          <w:p w14:paraId="2C11892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5D06AED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1FAFF"/>
            <w:vAlign w:val="center"/>
          </w:tcPr>
          <w:p w14:paraId="49CCD9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58249E1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7BE43F9F">
      <w:pPr>
        <w:rPr>
          <w:rFonts w:hint="eastAsia" w:ascii="Microsoft YaHei Bold" w:hAnsi="Microsoft YaHei Bold" w:eastAsia="Microsoft YaHei Bold" w:cs="Microsoft YaHei Bold"/>
          <w:b/>
          <w:bCs w:val="0"/>
          <w:color w:val="2F5597" w:themeColor="accent1" w:themeShade="BF"/>
          <w:sz w:val="44"/>
          <w:szCs w:val="44"/>
        </w:rPr>
      </w:pPr>
      <w:r>
        <w:rPr>
          <w:rFonts w:hint="eastAsia" w:ascii="Microsoft YaHei Bold" w:hAnsi="Microsoft YaHei Bold" w:eastAsia="Microsoft YaHei Bold" w:cs="Microsoft YaHei Bold"/>
          <w:b/>
          <w:bCs w:val="0"/>
          <w:color w:val="2F5597" w:themeColor="accent1" w:themeShade="BF"/>
          <w:sz w:val="44"/>
          <w:szCs w:val="44"/>
        </w:rPr>
        <w:br w:type="page"/>
      </w:r>
    </w:p>
    <w:p w14:paraId="13949408">
      <w:pPr>
        <w:pStyle w:val="2"/>
        <w:keepNext/>
        <w:keepLines/>
        <w:pageBreakBefore w:val="0"/>
        <w:widowControl w:val="0"/>
        <w:kinsoku/>
        <w:wordWrap/>
        <w:overflowPunct/>
        <w:topLinePunct w:val="0"/>
        <w:autoSpaceDE/>
        <w:autoSpaceDN/>
        <w:bidi w:val="0"/>
        <w:adjustRightInd/>
        <w:snapToGrid/>
        <w:spacing w:before="313" w:beforeLines="100" w:after="157" w:afterLines="50" w:line="360" w:lineRule="auto"/>
        <w:jc w:val="center"/>
        <w:textAlignment w:val="auto"/>
        <w:rPr>
          <w:rFonts w:hint="eastAsia" w:ascii="方正大标宋简体" w:hAnsi="方正大标宋简体" w:eastAsia="方正大标宋简体" w:cs="方正大标宋简体"/>
          <w:b w:val="0"/>
          <w:bCs/>
          <w:color w:val="00B0F0"/>
        </w:rPr>
      </w:pPr>
      <w:r>
        <w:rPr>
          <w:rFonts w:hint="eastAsia" w:ascii="方正大标宋简体" w:hAnsi="方正大标宋简体" w:eastAsia="方正大标宋简体" w:cs="方正大标宋简体"/>
          <w:b w:val="0"/>
          <w:bCs/>
          <w:color w:val="00B0F0"/>
        </w:rPr>
        <w:t>第</w:t>
      </w:r>
      <w:r>
        <w:rPr>
          <w:rFonts w:hint="eastAsia" w:ascii="方正大标宋简体" w:hAnsi="方正大标宋简体" w:eastAsia="方正大标宋简体" w:cs="方正大标宋简体"/>
          <w:b w:val="0"/>
          <w:bCs/>
          <w:color w:val="00B0F0"/>
          <w:lang w:val="en-US" w:eastAsia="zh-CN"/>
        </w:rPr>
        <w:t>3</w:t>
      </w:r>
      <w:r>
        <w:rPr>
          <w:rFonts w:hint="eastAsia" w:ascii="方正大标宋简体" w:hAnsi="方正大标宋简体" w:eastAsia="方正大标宋简体" w:cs="方正大标宋简体"/>
          <w:b w:val="0"/>
          <w:bCs/>
          <w:color w:val="00B0F0"/>
        </w:rPr>
        <w:t>课  新一代人工智能生态</w:t>
      </w:r>
    </w:p>
    <w:tbl>
      <w:tblPr>
        <w:tblStyle w:val="6"/>
        <w:tblW w:w="9639"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single" w:color="4472C4" w:themeColor="accent1" w:sz="4" w:space="0"/>
          <w:insideV w:val="single" w:color="4472C4" w:themeColor="accent1" w:sz="4" w:space="0"/>
        </w:tblBorders>
        <w:tblLayout w:type="fixed"/>
        <w:tblCellMar>
          <w:top w:w="0" w:type="dxa"/>
          <w:left w:w="108" w:type="dxa"/>
          <w:bottom w:w="0" w:type="dxa"/>
          <w:right w:w="108" w:type="dxa"/>
        </w:tblCellMar>
      </w:tblPr>
      <w:tblGrid>
        <w:gridCol w:w="1456"/>
        <w:gridCol w:w="6625"/>
        <w:gridCol w:w="1558"/>
      </w:tblGrid>
      <w:tr w14:paraId="31776A1C">
        <w:trPr>
          <w:trHeight w:val="565" w:hRule="atLeast"/>
          <w:jc w:val="center"/>
        </w:trPr>
        <w:tc>
          <w:tcPr>
            <w:tcW w:w="1456" w:type="dxa"/>
            <w:tcBorders>
              <w:tl2br w:val="nil"/>
              <w:tr2bl w:val="nil"/>
            </w:tcBorders>
            <w:shd w:val="clear" w:color="auto" w:fill="9FECFF"/>
            <w:vAlign w:val="center"/>
          </w:tcPr>
          <w:p w14:paraId="2D054F3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题</w:t>
            </w:r>
          </w:p>
        </w:tc>
        <w:tc>
          <w:tcPr>
            <w:tcW w:w="8183" w:type="dxa"/>
            <w:gridSpan w:val="2"/>
            <w:tcBorders>
              <w:tl2br w:val="nil"/>
              <w:tr2bl w:val="nil"/>
            </w:tcBorders>
            <w:shd w:val="clear" w:color="auto" w:fill="D6F7FF"/>
            <w:vAlign w:val="center"/>
          </w:tcPr>
          <w:p w14:paraId="02BB15AB">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新一代人工智能生态</w:t>
            </w:r>
          </w:p>
        </w:tc>
      </w:tr>
      <w:tr w14:paraId="24AD80D3">
        <w:trPr>
          <w:trHeight w:val="546" w:hRule="atLeast"/>
          <w:jc w:val="center"/>
        </w:trPr>
        <w:tc>
          <w:tcPr>
            <w:tcW w:w="1456" w:type="dxa"/>
            <w:tcBorders>
              <w:tl2br w:val="nil"/>
              <w:tr2bl w:val="nil"/>
            </w:tcBorders>
            <w:shd w:val="clear" w:color="auto" w:fill="9FECFF"/>
            <w:vAlign w:val="center"/>
          </w:tcPr>
          <w:p w14:paraId="5E96067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时</w:t>
            </w:r>
          </w:p>
        </w:tc>
        <w:tc>
          <w:tcPr>
            <w:tcW w:w="8183" w:type="dxa"/>
            <w:gridSpan w:val="2"/>
            <w:tcBorders>
              <w:tl2br w:val="nil"/>
              <w:tr2bl w:val="nil"/>
            </w:tcBorders>
            <w:shd w:val="clear" w:color="auto" w:fill="D6F7FF"/>
            <w:vAlign w:val="center"/>
          </w:tcPr>
          <w:p w14:paraId="33B7B550">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7723522C">
        <w:trPr>
          <w:trHeight w:val="1928" w:hRule="atLeast"/>
          <w:jc w:val="center"/>
        </w:trPr>
        <w:tc>
          <w:tcPr>
            <w:tcW w:w="1456" w:type="dxa"/>
            <w:tcBorders>
              <w:tl2br w:val="nil"/>
              <w:tr2bl w:val="nil"/>
            </w:tcBorders>
            <w:shd w:val="clear" w:color="auto" w:fill="auto"/>
            <w:vAlign w:val="center"/>
          </w:tcPr>
          <w:p w14:paraId="6A60611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教学目标</w:t>
            </w:r>
          </w:p>
        </w:tc>
        <w:tc>
          <w:tcPr>
            <w:tcW w:w="8183" w:type="dxa"/>
            <w:gridSpan w:val="2"/>
            <w:tcBorders>
              <w:tl2br w:val="nil"/>
              <w:tr2bl w:val="nil"/>
            </w:tcBorders>
            <w:shd w:val="clear" w:color="auto" w:fill="auto"/>
            <w:vAlign w:val="center"/>
          </w:tcPr>
          <w:p w14:paraId="182D9D5A">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14:paraId="30AB8E8C">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理解物联网、云计算、大数据、区块链等技术在人工智能生态中的基础地位和应用价值。</w:t>
            </w:r>
          </w:p>
          <w:p w14:paraId="509342A2">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理解各技术领域的核心概念与原理，如物联网中的传感器技术、云计算的服务模型、大数据的机器学习、区块链的共识机制等。</w:t>
            </w:r>
          </w:p>
          <w:p w14:paraId="5660A95C">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43D7418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eastAsia" w:ascii="Times New Roman" w:hAnsi="Times New Roman" w:eastAsia="宋体"/>
                <w:szCs w:val="20"/>
                <w:lang w:eastAsia="zh-CN"/>
              </w:rPr>
            </w:pPr>
            <w:r>
              <w:rPr>
                <w:rFonts w:hint="eastAsia" w:ascii="Times New Roman" w:hAnsi="宋体"/>
                <w:bCs/>
                <w:szCs w:val="20"/>
              </w:rPr>
              <w:t>让学生通过</w:t>
            </w:r>
            <w:r>
              <w:rPr>
                <w:rFonts w:hint="eastAsia" w:ascii="Times New Roman" w:hAnsi="宋体"/>
                <w:bCs/>
                <w:szCs w:val="20"/>
                <w:lang w:val="en-US" w:eastAsia="zh-CN"/>
              </w:rPr>
              <w:t>学习</w:t>
            </w:r>
            <w:r>
              <w:rPr>
                <w:rFonts w:hint="eastAsia" w:ascii="Times New Roman" w:hAnsi="宋体"/>
                <w:bCs/>
                <w:szCs w:val="20"/>
                <w:lang w:eastAsia="zh-CN"/>
              </w:rPr>
              <w:t>新一代人工智能生态</w:t>
            </w:r>
            <w:r>
              <w:rPr>
                <w:rFonts w:hint="eastAsia" w:ascii="Times New Roman" w:hAnsi="宋体"/>
                <w:bCs/>
                <w:szCs w:val="20"/>
              </w:rPr>
              <w:t>，跨学科思维与团队协作能力：具备跨学科的知识储备，能够跨越技术边界进行思考，与不同领域的专家有效沟通协作，共同推进新一代人工智能生态的建设与发展。</w:t>
            </w:r>
          </w:p>
        </w:tc>
      </w:tr>
      <w:tr w14:paraId="74EE4C35">
        <w:trPr>
          <w:trHeight w:val="659" w:hRule="atLeast"/>
          <w:jc w:val="center"/>
        </w:trPr>
        <w:tc>
          <w:tcPr>
            <w:tcW w:w="1456" w:type="dxa"/>
            <w:tcBorders>
              <w:tl2br w:val="nil"/>
              <w:tr2bl w:val="nil"/>
            </w:tcBorders>
            <w:shd w:val="clear" w:color="auto" w:fill="9FECFF"/>
            <w:vAlign w:val="center"/>
          </w:tcPr>
          <w:p w14:paraId="4710CE6F">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教学重难点</w:t>
            </w:r>
          </w:p>
        </w:tc>
        <w:tc>
          <w:tcPr>
            <w:tcW w:w="8183" w:type="dxa"/>
            <w:gridSpan w:val="2"/>
            <w:tcBorders>
              <w:tl2br w:val="nil"/>
              <w:tr2bl w:val="nil"/>
            </w:tcBorders>
            <w:shd w:val="clear" w:color="auto" w:fill="E1FAFF"/>
            <w:vAlign w:val="center"/>
          </w:tcPr>
          <w:p w14:paraId="3716C727">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云计算平台的操作与管理技能</w:t>
            </w:r>
          </w:p>
          <w:p w14:paraId="66745F5D">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完成区块链节点的配置、网络拓扑的设计以及共识机制的设定</w:t>
            </w:r>
          </w:p>
        </w:tc>
      </w:tr>
      <w:tr w14:paraId="235A1BAA">
        <w:trPr>
          <w:trHeight w:val="546" w:hRule="atLeast"/>
          <w:jc w:val="center"/>
        </w:trPr>
        <w:tc>
          <w:tcPr>
            <w:tcW w:w="1456" w:type="dxa"/>
            <w:tcBorders>
              <w:tl2br w:val="nil"/>
              <w:tr2bl w:val="nil"/>
            </w:tcBorders>
            <w:shd w:val="clear" w:color="auto" w:fill="9FECFF"/>
            <w:vAlign w:val="center"/>
          </w:tcPr>
          <w:p w14:paraId="48410BAD">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教学方法</w:t>
            </w:r>
          </w:p>
        </w:tc>
        <w:tc>
          <w:tcPr>
            <w:tcW w:w="8183" w:type="dxa"/>
            <w:gridSpan w:val="2"/>
            <w:tcBorders>
              <w:tl2br w:val="nil"/>
              <w:tr2bl w:val="nil"/>
            </w:tcBorders>
            <w:shd w:val="clear" w:color="auto" w:fill="E1FAFF"/>
            <w:vAlign w:val="center"/>
          </w:tcPr>
          <w:p w14:paraId="03960342">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14:paraId="425BBA8B">
        <w:trPr>
          <w:trHeight w:val="546" w:hRule="atLeast"/>
          <w:jc w:val="center"/>
        </w:trPr>
        <w:tc>
          <w:tcPr>
            <w:tcW w:w="1456" w:type="dxa"/>
            <w:tcBorders>
              <w:tl2br w:val="nil"/>
              <w:tr2bl w:val="nil"/>
            </w:tcBorders>
            <w:shd w:val="clear" w:color="auto" w:fill="9FECFF"/>
            <w:vAlign w:val="center"/>
          </w:tcPr>
          <w:p w14:paraId="29E82B0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教学用具</w:t>
            </w:r>
          </w:p>
        </w:tc>
        <w:tc>
          <w:tcPr>
            <w:tcW w:w="8183" w:type="dxa"/>
            <w:gridSpan w:val="2"/>
            <w:tcBorders>
              <w:tl2br w:val="nil"/>
              <w:tr2bl w:val="nil"/>
            </w:tcBorders>
            <w:shd w:val="clear" w:color="auto" w:fill="E1FAFF"/>
            <w:vAlign w:val="center"/>
          </w:tcPr>
          <w:p w14:paraId="25A25605">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71073DDA">
        <w:trPr>
          <w:trHeight w:val="1633" w:hRule="atLeast"/>
          <w:jc w:val="center"/>
        </w:trPr>
        <w:tc>
          <w:tcPr>
            <w:tcW w:w="1456" w:type="dxa"/>
            <w:tcBorders>
              <w:tl2br w:val="nil"/>
              <w:tr2bl w:val="nil"/>
            </w:tcBorders>
            <w:shd w:val="clear" w:color="auto" w:fill="auto"/>
            <w:vAlign w:val="center"/>
          </w:tcPr>
          <w:p w14:paraId="79B4C80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教学设计</w:t>
            </w:r>
          </w:p>
        </w:tc>
        <w:tc>
          <w:tcPr>
            <w:tcW w:w="8183" w:type="dxa"/>
            <w:gridSpan w:val="2"/>
            <w:tcBorders>
              <w:tl2br w:val="nil"/>
              <w:tr2bl w:val="nil"/>
            </w:tcBorders>
            <w:shd w:val="clear" w:color="auto" w:fill="auto"/>
            <w:vAlign w:val="center"/>
          </w:tcPr>
          <w:p w14:paraId="1E392736">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15F46724">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6B183734">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6B72C804">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14:paraId="627F478A">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14:paraId="11DC5C4F">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14:paraId="0A0B0936">
        <w:trPr>
          <w:trHeight w:val="565" w:hRule="atLeast"/>
          <w:jc w:val="center"/>
        </w:trPr>
        <w:tc>
          <w:tcPr>
            <w:tcW w:w="1456" w:type="dxa"/>
            <w:tcBorders>
              <w:tl2br w:val="nil"/>
              <w:tr2bl w:val="nil"/>
            </w:tcBorders>
            <w:shd w:val="clear" w:color="auto" w:fill="9FECFF"/>
            <w:vAlign w:val="center"/>
          </w:tcPr>
          <w:p w14:paraId="759BAFD9">
            <w:pPr>
              <w:jc w:val="center"/>
              <w:rPr>
                <w:rFonts w:hint="eastAsia" w:ascii="微软雅黑" w:hAnsi="微软雅黑" w:eastAsia="微软雅黑" w:cs="微软雅黑"/>
                <w:b/>
                <w:bCs/>
                <w:color w:val="auto"/>
              </w:rPr>
            </w:pPr>
            <w:r>
              <w:rPr>
                <w:rFonts w:hint="eastAsia" w:ascii="微软雅黑" w:hAnsi="微软雅黑" w:eastAsia="微软雅黑" w:cs="微软雅黑"/>
                <w:b/>
                <w:bCs/>
                <w:color w:val="auto"/>
              </w:rPr>
              <w:t>教学过程</w:t>
            </w:r>
          </w:p>
        </w:tc>
        <w:tc>
          <w:tcPr>
            <w:tcW w:w="6625" w:type="dxa"/>
            <w:tcBorders>
              <w:tl2br w:val="nil"/>
              <w:tr2bl w:val="nil"/>
            </w:tcBorders>
            <w:shd w:val="clear" w:color="auto" w:fill="9FECFF"/>
            <w:vAlign w:val="center"/>
          </w:tcPr>
          <w:p w14:paraId="43B15D04">
            <w:pPr>
              <w:jc w:val="center"/>
              <w:rPr>
                <w:rFonts w:hint="eastAsia" w:ascii="微软雅黑" w:hAnsi="微软雅黑" w:eastAsia="微软雅黑" w:cs="微软雅黑"/>
                <w:b/>
                <w:bCs/>
              </w:rPr>
            </w:pPr>
            <w:r>
              <w:rPr>
                <w:rFonts w:hint="eastAsia" w:ascii="微软雅黑" w:hAnsi="微软雅黑" w:eastAsia="微软雅黑" w:cs="微软雅黑"/>
                <w:b/>
                <w:bCs/>
              </w:rPr>
              <w:t>主要教学内容及步骤</w:t>
            </w:r>
          </w:p>
        </w:tc>
        <w:tc>
          <w:tcPr>
            <w:tcW w:w="1558" w:type="dxa"/>
            <w:tcBorders>
              <w:tl2br w:val="nil"/>
              <w:tr2bl w:val="nil"/>
            </w:tcBorders>
            <w:shd w:val="clear" w:color="auto" w:fill="9FECFF"/>
            <w:vAlign w:val="center"/>
          </w:tcPr>
          <w:p w14:paraId="59B36318">
            <w:pPr>
              <w:jc w:val="center"/>
              <w:rPr>
                <w:rFonts w:hint="eastAsia" w:ascii="微软雅黑" w:hAnsi="微软雅黑" w:eastAsia="微软雅黑" w:cs="微软雅黑"/>
                <w:b/>
                <w:bCs/>
              </w:rPr>
            </w:pPr>
            <w:r>
              <w:rPr>
                <w:rFonts w:hint="eastAsia" w:ascii="微软雅黑" w:hAnsi="微软雅黑" w:eastAsia="微软雅黑" w:cs="微软雅黑"/>
                <w:b/>
                <w:bCs/>
              </w:rPr>
              <w:t>设计意图</w:t>
            </w:r>
          </w:p>
        </w:tc>
      </w:tr>
      <w:tr w14:paraId="40E01E8B">
        <w:trPr>
          <w:trHeight w:val="1327" w:hRule="atLeast"/>
          <w:jc w:val="center"/>
        </w:trPr>
        <w:tc>
          <w:tcPr>
            <w:tcW w:w="1456" w:type="dxa"/>
            <w:tcBorders>
              <w:tl2br w:val="nil"/>
              <w:tr2bl w:val="nil"/>
            </w:tcBorders>
            <w:shd w:val="clear" w:color="auto" w:fill="auto"/>
            <w:vAlign w:val="center"/>
          </w:tcPr>
          <w:p w14:paraId="39C25B92">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考勤</w:t>
            </w:r>
          </w:p>
          <w:p w14:paraId="30E69B5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w:t>
            </w:r>
            <w:r>
              <w:rPr>
                <w:rFonts w:hint="eastAsia" w:ascii="黑体" w:hAnsi="黑体" w:eastAsia="黑体" w:cs="黑体"/>
                <w:b/>
                <w:bCs w:val="0"/>
                <w:color w:val="auto"/>
                <w:szCs w:val="24"/>
                <w:lang w:val="en-US" w:eastAsia="zh-CN"/>
              </w:rPr>
              <w:t>2min</w:t>
            </w:r>
            <w:r>
              <w:rPr>
                <w:rFonts w:hint="eastAsia" w:ascii="黑体" w:hAnsi="黑体" w:eastAsia="黑体" w:cs="黑体"/>
                <w:b/>
                <w:bCs w:val="0"/>
                <w:color w:val="auto"/>
                <w:szCs w:val="24"/>
                <w:lang w:eastAsia="zh-CN"/>
              </w:rPr>
              <w:t>）</w:t>
            </w:r>
          </w:p>
        </w:tc>
        <w:tc>
          <w:tcPr>
            <w:tcW w:w="6625" w:type="dxa"/>
            <w:tcBorders>
              <w:tl2br w:val="nil"/>
              <w:tr2bl w:val="nil"/>
            </w:tcBorders>
            <w:shd w:val="clear" w:color="auto" w:fill="auto"/>
            <w:vAlign w:val="center"/>
          </w:tcPr>
          <w:p w14:paraId="1884E4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7AEAE51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558" w:type="dxa"/>
            <w:tcBorders>
              <w:tl2br w:val="nil"/>
              <w:tr2bl w:val="nil"/>
            </w:tcBorders>
            <w:shd w:val="clear" w:color="auto" w:fill="auto"/>
            <w:vAlign w:val="center"/>
          </w:tcPr>
          <w:p w14:paraId="40DD4BFE">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14:paraId="251E8815">
        <w:trPr>
          <w:trHeight w:val="444" w:hRule="atLeast"/>
          <w:jc w:val="center"/>
        </w:trPr>
        <w:tc>
          <w:tcPr>
            <w:tcW w:w="1456" w:type="dxa"/>
            <w:tcBorders>
              <w:tl2br w:val="nil"/>
              <w:tr2bl w:val="nil"/>
            </w:tcBorders>
            <w:shd w:val="clear" w:color="auto" w:fill="auto"/>
            <w:vAlign w:val="center"/>
          </w:tcPr>
          <w:p w14:paraId="5002081E">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961F01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54CCF4FA">
            <w:pPr>
              <w:keepNext w:val="0"/>
              <w:keepLines w:val="0"/>
              <w:suppressLineNumbers w:val="0"/>
              <w:spacing w:before="0" w:beforeAutospacing="0" w:after="0" w:afterAutospacing="0" w:line="380" w:lineRule="exact"/>
              <w:ind w:left="0" w:right="0"/>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万物互联—— 物联网（一）</w:t>
            </w:r>
          </w:p>
          <w:p w14:paraId="762BAE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一、物联网概念</w:t>
            </w:r>
          </w:p>
          <w:p w14:paraId="60B024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物联网（Internet of Things，IoT）是指把所有物品通过射频识别（RFID）、红外感应器、全球定位系统、激光扫描仪等信息传感设备与互联网连接起来，进行信息交换和通信，进而实现智能化识别、定位、跟踪、监控和管理。</w:t>
            </w:r>
          </w:p>
          <w:p w14:paraId="355CBD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二、物联网的特点</w:t>
            </w:r>
          </w:p>
          <w:p w14:paraId="1B1DE2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物联网具备全面感知、实时传送、智能控制三大特点。作为新一代人工智能的基石与土壤，它已广泛深度融入智能手机、智能音箱、智能家居、智能安防、智能交通、智慧农业、智能物流及智慧城市等多个领域，正悄然改善并优化着人们的生活方式，如图 3-1 所示。</w:t>
            </w:r>
          </w:p>
          <w:p w14:paraId="28B9F0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554730" cy="2504440"/>
                  <wp:effectExtent l="0" t="0" r="1270" b="1016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3554730" cy="2504440"/>
                          </a:xfrm>
                          <a:prstGeom prst="rect">
                            <a:avLst/>
                          </a:prstGeom>
                          <a:noFill/>
                          <a:ln>
                            <a:noFill/>
                          </a:ln>
                        </pic:spPr>
                      </pic:pic>
                    </a:graphicData>
                  </a:graphic>
                </wp:inline>
              </w:drawing>
            </w:r>
          </w:p>
          <w:p w14:paraId="4F3124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三、物联网技术架构</w:t>
            </w:r>
          </w:p>
          <w:p w14:paraId="22A7F0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通用的物联网技术架构如图 3-2 所示。</w:t>
            </w:r>
          </w:p>
          <w:p w14:paraId="298749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drawing>
                <wp:inline distT="0" distB="0" distL="114300" distR="114300">
                  <wp:extent cx="3543300" cy="2425700"/>
                  <wp:effectExtent l="0" t="0" r="12700" b="1270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1"/>
                          <a:stretch>
                            <a:fillRect/>
                          </a:stretch>
                        </pic:blipFill>
                        <pic:spPr>
                          <a:xfrm>
                            <a:off x="0" y="0"/>
                            <a:ext cx="3543300" cy="2425700"/>
                          </a:xfrm>
                          <a:prstGeom prst="rect">
                            <a:avLst/>
                          </a:prstGeom>
                          <a:noFill/>
                          <a:ln>
                            <a:noFill/>
                          </a:ln>
                        </pic:spPr>
                      </pic:pic>
                    </a:graphicData>
                  </a:graphic>
                </wp:inline>
              </w:drawing>
            </w:r>
          </w:p>
        </w:tc>
        <w:tc>
          <w:tcPr>
            <w:tcW w:w="1558" w:type="dxa"/>
            <w:tcBorders>
              <w:tl2br w:val="nil"/>
              <w:tr2bl w:val="nil"/>
            </w:tcBorders>
            <w:shd w:val="clear" w:color="auto" w:fill="auto"/>
            <w:vAlign w:val="center"/>
          </w:tcPr>
          <w:p w14:paraId="33DAF9A2">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讲解万物互联—— 物联网（一）</w:t>
            </w:r>
            <w:r>
              <w:rPr>
                <w:rFonts w:hint="eastAsia" w:ascii="Times New Roman" w:hAnsi="Times New Roman"/>
                <w:b/>
                <w:color w:val="auto"/>
                <w:szCs w:val="24"/>
              </w:rPr>
              <w:t>，</w:t>
            </w:r>
            <w:r>
              <w:rPr>
                <w:rFonts w:hint="eastAsia" w:ascii="Times New Roman" w:hAnsi="Times New Roman"/>
                <w:b/>
                <w:color w:val="auto"/>
                <w:szCs w:val="24"/>
                <w:lang w:eastAsia="zh-CN"/>
              </w:rPr>
              <w:t>让学生更加仔细的了解</w:t>
            </w:r>
            <w:r>
              <w:rPr>
                <w:rFonts w:hint="eastAsia" w:ascii="Times New Roman" w:hAnsi="Times New Roman"/>
                <w:b/>
                <w:color w:val="auto"/>
                <w:szCs w:val="24"/>
                <w:lang w:val="en-US" w:eastAsia="zh-CN"/>
              </w:rPr>
              <w:t>知识</w:t>
            </w:r>
            <w:r>
              <w:rPr>
                <w:rFonts w:hint="eastAsia" w:ascii="Times New Roman" w:hAnsi="Times New Roman"/>
                <w:b/>
                <w:color w:val="auto"/>
                <w:szCs w:val="24"/>
                <w:lang w:eastAsia="zh-CN"/>
              </w:rPr>
              <w:t>，从而</w:t>
            </w:r>
            <w:r>
              <w:rPr>
                <w:rFonts w:hint="eastAsia" w:ascii="Times New Roman" w:hAnsi="Times New Roman"/>
                <w:b/>
                <w:color w:val="auto"/>
                <w:szCs w:val="24"/>
              </w:rPr>
              <w:t>激发学生的学习欲望。</w:t>
            </w:r>
          </w:p>
        </w:tc>
      </w:tr>
      <w:tr w14:paraId="06497542">
        <w:trPr>
          <w:trHeight w:val="1448" w:hRule="atLeast"/>
          <w:jc w:val="center"/>
        </w:trPr>
        <w:tc>
          <w:tcPr>
            <w:tcW w:w="1456" w:type="dxa"/>
            <w:tcBorders>
              <w:tl2br w:val="nil"/>
              <w:tr2bl w:val="nil"/>
            </w:tcBorders>
            <w:shd w:val="clear" w:color="auto" w:fill="9FECFF"/>
            <w:vAlign w:val="center"/>
          </w:tcPr>
          <w:p w14:paraId="4B47149B">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FBDC8C9">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418AB768">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4D6C252B">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万物互联—— 物联网（一），让学生了解物联网概念、物联网的特点以及物联网技术架构</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5BB697A1">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D12C066">
        <w:trPr>
          <w:trHeight w:val="1308" w:hRule="atLeast"/>
          <w:jc w:val="center"/>
        </w:trPr>
        <w:tc>
          <w:tcPr>
            <w:tcW w:w="1456" w:type="dxa"/>
            <w:tcBorders>
              <w:tl2br w:val="nil"/>
              <w:tr2bl w:val="nil"/>
            </w:tcBorders>
            <w:shd w:val="clear" w:color="auto" w:fill="D6F7FF"/>
            <w:vAlign w:val="center"/>
          </w:tcPr>
          <w:p w14:paraId="37827A9A">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65C75623">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A6046FC">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default" w:ascii="Calibri" w:hAnsi="宋体" w:eastAsia="宋体" w:cs="Times New Roman"/>
                <w:bCs/>
                <w:kern w:val="2"/>
                <w:sz w:val="21"/>
                <w:szCs w:val="21"/>
                <w:lang w:val="en-US" w:eastAsia="zh-CN" w:bidi="ar-SA"/>
              </w:rPr>
            </w:pPr>
            <w:r>
              <w:rPr>
                <w:rFonts w:hint="eastAsia" w:ascii="Calibri" w:hAnsi="宋体" w:eastAsia="宋体" w:cs="Times New Roman"/>
                <w:bCs/>
                <w:kern w:val="2"/>
                <w:sz w:val="21"/>
                <w:szCs w:val="21"/>
                <w:lang w:val="en-US" w:eastAsia="zh-CN" w:bidi="ar-SA"/>
              </w:rPr>
              <w:t>简述物联网的特点。</w:t>
            </w:r>
          </w:p>
        </w:tc>
        <w:tc>
          <w:tcPr>
            <w:tcW w:w="1558" w:type="dxa"/>
            <w:tcBorders>
              <w:tl2br w:val="nil"/>
              <w:tr2bl w:val="nil"/>
            </w:tcBorders>
            <w:shd w:val="clear" w:color="auto" w:fill="D6F7FF"/>
            <w:vAlign w:val="center"/>
          </w:tcPr>
          <w:p w14:paraId="5AA4FFE8">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197FEDD2">
        <w:trPr>
          <w:trHeight w:val="3214" w:hRule="atLeast"/>
          <w:jc w:val="center"/>
        </w:trPr>
        <w:tc>
          <w:tcPr>
            <w:tcW w:w="1456" w:type="dxa"/>
            <w:tcBorders>
              <w:tl2br w:val="nil"/>
              <w:tr2bl w:val="nil"/>
            </w:tcBorders>
            <w:shd w:val="clear" w:color="auto" w:fill="auto"/>
            <w:vAlign w:val="center"/>
          </w:tcPr>
          <w:p w14:paraId="535DAF25">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32935FA0">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3FCF4D7A">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万物互联—— 物联网（二）</w:t>
            </w:r>
          </w:p>
          <w:p w14:paraId="4F660F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四、物联网感知层关键技术</w:t>
            </w:r>
          </w:p>
          <w:p w14:paraId="16CA73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（一）嵌入式系统技术</w:t>
            </w:r>
          </w:p>
          <w:p w14:paraId="79054F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嵌入式系统已深度融入科技领域与日常生活，其存在常难以察觉，这得益于其独特性质。</w:t>
            </w:r>
          </w:p>
          <w:p w14:paraId="25D5BC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ARM 架构作为嵌入式系统的核心，与通用计算机系统相比，展现出定制化设计、实时性要求、资源受限及高可靠性等显著特征。</w:t>
            </w:r>
          </w:p>
          <w:p w14:paraId="286910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（1）嵌入式系统是面向特定应用的，大多工作在为特定用户群设计的系统中，它通常具有低功耗、体积小、集成度高等特点。</w:t>
            </w:r>
          </w:p>
          <w:p w14:paraId="58B11B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（2）硬件和软件都必须高效率地设计，量体裁衣、去除冗余，力争在同样的硅片面积上实现更高的性能，这样才能满足功能、可靠性和功耗的苛刻要求。</w:t>
            </w:r>
          </w:p>
          <w:p w14:paraId="0CC880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（3）支持实时操作系统。虽然嵌入式系统的应用程序可以不需要操作系统的支持直接运行，但是为了合理地调度多任务，充分利用系统资源，用户必须自行选配实时操作系统开发平台。</w:t>
            </w:r>
          </w:p>
          <w:p w14:paraId="625327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（4）与具体应用有机地结合在一起，它的升级换代也是和具体产品同步进行，因此嵌入式系统产品一旦进入市场，具有较长的生命周期。</w:t>
            </w:r>
          </w:p>
          <w:p w14:paraId="730822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（5）软件一般都固化在存储器芯片或单片机内。</w:t>
            </w:r>
          </w:p>
          <w:p w14:paraId="0E9F39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（6）支持专门开发工具。嵌入式系统本身不具备自主开发能力，即使在设计完成以后，用户通常也无法对程序功能进行修改，必须有一套开发工具和环境才能进行开发，如评估开发板。</w:t>
            </w:r>
          </w:p>
          <w:p w14:paraId="0D96D7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（二）传感器技术</w:t>
            </w:r>
          </w:p>
          <w:p w14:paraId="291D6F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传感器概念</w:t>
            </w:r>
          </w:p>
          <w:p w14:paraId="750A28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传感器是一种能感受被测量，并转换为可用输出信号的装置。它能按照特定规律将感知的信息变换为电信号或其他形式，以满足信息的传输、处理、存储、显示、记录及控制等方面的需求。</w:t>
            </w:r>
          </w:p>
          <w:p w14:paraId="73FE6E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传感器的特点</w:t>
            </w:r>
          </w:p>
          <w:p w14:paraId="01304A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感器集微型化、数字化、智能化、多功能化、系统化及网络化等特性于一体，是自动检测和自动控制的关键环节。它的存在与发展，赋予了物体触觉、味觉、嗅觉等感知能力，使物体逐渐“活化”。依据其基本感知功能，传感器可被划分为热敏、光敏、气敏、力敏、磁敏、湿敏、声敏、放射线敏感、色敏及味敏等十大元件类别。</w:t>
            </w:r>
          </w:p>
          <w:p w14:paraId="5474A1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传感器的组成</w:t>
            </w:r>
          </w:p>
          <w:p w14:paraId="7690A1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感器一般由敏感元件、转换元件、变换电路和辅助电源四部分组成。敏感元件直接感受被测量，并输出与被测量有确定关系的物理量信号；转换元件将敏感元件输出的物理量信号转换为电信号；变换电路负责对转换元件输出的电信号进行放大调制；转换元件和变换电路一般还需要辅助电源供电。</w:t>
            </w:r>
          </w:p>
          <w:p w14:paraId="6C2E40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传感器的种类</w:t>
            </w:r>
          </w:p>
          <w:p w14:paraId="44BAEB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2832735" cy="3572510"/>
                  <wp:effectExtent l="0" t="0" r="12065" b="889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2"/>
                          <a:stretch>
                            <a:fillRect/>
                          </a:stretch>
                        </pic:blipFill>
                        <pic:spPr>
                          <a:xfrm>
                            <a:off x="0" y="0"/>
                            <a:ext cx="2832735" cy="3572510"/>
                          </a:xfrm>
                          <a:prstGeom prst="rect">
                            <a:avLst/>
                          </a:prstGeom>
                          <a:noFill/>
                          <a:ln>
                            <a:noFill/>
                          </a:ln>
                        </pic:spPr>
                      </pic:pic>
                    </a:graphicData>
                  </a:graphic>
                </wp:inline>
              </w:drawing>
            </w:r>
          </w:p>
          <w:p w14:paraId="0D2D28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（1）电阻式传感器。电阻式传感器是将被测量，如位移、形变、力、加速度、湿度及温度等这些物理量转换成电阻值的一种器件。主要有电阻应变式、压阻式、热电阻、热敏、气敏及湿敏等电阻式传感器件。</w:t>
            </w:r>
          </w:p>
          <w:p w14:paraId="467E7F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变频功率传感器。变频功率传感器通过对电压、电流信号进行交流采样，并利用电缆、光纤等传输系统将采样值传送至数字量输入二次仪表。该仪表对接收到的采样值进行运算处理后，从而能够获取电压及电流的有效值、基波与谐波电压电流值，以及有功功率、基波功率和谐波功率等多项参数。</w:t>
            </w:r>
          </w:p>
          <w:p w14:paraId="405301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（3）称重传感器。称重传感器是一种能够将重力转变为电信号的力—电转换装置。</w:t>
            </w:r>
          </w:p>
          <w:p w14:paraId="609997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热电阻传感器。热电阻测温基于金属导体电阻值随温度升高而增加的特性。其材料主要由纯金属制成，如铂、铜等。此外，根据电阻值随温度变化的方向，热电阻传感器可分为正温度系数传感器和负温度系数传感器两类。</w:t>
            </w:r>
          </w:p>
          <w:p w14:paraId="4B5071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（5）激光传感器。激光传感器是利用激光技术进行测量的传感器。它由激光器、激光检测器和测量电路组成，是新型测量仪表。</w:t>
            </w:r>
          </w:p>
          <w:p w14:paraId="031FFC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霍尔传感器。霍尔传感器是基于霍尔效应制作的磁场传感器，主要分为线性型和开关型两种。线性型霍尔传感器由霍尔元件、线性放大器及射极跟随器构成，输出模拟量。开关型霍尔传感器则由稳压器、霍尔元件、差分放大器、斯密特触发器和输出级组成，输出数字量。</w:t>
            </w:r>
          </w:p>
          <w:p w14:paraId="10A320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（三）网络连接技术</w:t>
            </w:r>
          </w:p>
          <w:p w14:paraId="2F1B95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网络连接技术用于连接外围设备与计算机、计算机之间、计算机与网络设备及网络设备相互之间的通信。它主要依赖有线和无线两类传输媒介。有线媒介涵盖同轴电缆、双绞线和光缆；无线媒介则包括微波、无线电波、激光和红外线。网络间的连接设备起着“翻译”作用，负责将一种网络的信息包转换为另一种网络所能理解的信息包，这一过程即协议转换。在物联网领域，专用的通信协议有 Zigbee、NFC、Wi-Fi、GPRS、USB、NB-IoT、RFID、蓝牙和 Lora 等。如今，汽车上现在可能配备 40 0 多个传感器，在燃料耗尽、发动机过热等情况出现时，车上的仪表盘就会警示灯。在未来，随身携带的智能手机和其他设备等，将会通过传感器收集人体健康数据，打造一个身体的“仪表盘”，帮助人们提前探测潜在危险。</w:t>
            </w:r>
          </w:p>
        </w:tc>
        <w:tc>
          <w:tcPr>
            <w:tcW w:w="1558" w:type="dxa"/>
            <w:tcBorders>
              <w:tl2br w:val="nil"/>
              <w:tr2bl w:val="nil"/>
            </w:tcBorders>
            <w:shd w:val="clear" w:color="auto" w:fill="auto"/>
            <w:vAlign w:val="center"/>
          </w:tcPr>
          <w:p w14:paraId="11869432">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熟悉</w:t>
            </w:r>
            <w:r>
              <w:rPr>
                <w:rFonts w:hint="eastAsia" w:ascii="Times New Roman" w:hAnsi="Times New Roman"/>
                <w:b/>
                <w:color w:val="auto"/>
                <w:szCs w:val="24"/>
                <w:lang w:eastAsia="zh-CN"/>
              </w:rPr>
              <w:t>万物互联—— 物联网（二）。</w:t>
            </w:r>
          </w:p>
        </w:tc>
      </w:tr>
      <w:tr w14:paraId="2A8348E4">
        <w:trPr>
          <w:trHeight w:val="1448" w:hRule="atLeast"/>
          <w:jc w:val="center"/>
        </w:trPr>
        <w:tc>
          <w:tcPr>
            <w:tcW w:w="1456" w:type="dxa"/>
            <w:tcBorders>
              <w:tl2br w:val="nil"/>
              <w:tr2bl w:val="nil"/>
            </w:tcBorders>
            <w:shd w:val="clear" w:color="auto" w:fill="9FECFF"/>
            <w:vAlign w:val="center"/>
          </w:tcPr>
          <w:p w14:paraId="348E9603">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D45F578">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7AA18E9D">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AFFAB92">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万物互联—— 物联网（二），让学生了解物联网感知层关键技术</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24DAF621">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9CD5F13">
        <w:trPr>
          <w:trHeight w:val="1308" w:hRule="atLeast"/>
          <w:jc w:val="center"/>
        </w:trPr>
        <w:tc>
          <w:tcPr>
            <w:tcW w:w="1456" w:type="dxa"/>
            <w:tcBorders>
              <w:tl2br w:val="nil"/>
              <w:tr2bl w:val="nil"/>
            </w:tcBorders>
            <w:shd w:val="clear" w:color="auto" w:fill="D6F7FF"/>
            <w:vAlign w:val="center"/>
          </w:tcPr>
          <w:p w14:paraId="4C8C2B50">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7CF89069">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9AB1F10">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试想可穿戴设备未来将如何进一步融入我们的日常生活，并带来哪些创新应用？</w:t>
            </w:r>
          </w:p>
        </w:tc>
        <w:tc>
          <w:tcPr>
            <w:tcW w:w="1558" w:type="dxa"/>
            <w:tcBorders>
              <w:tl2br w:val="nil"/>
              <w:tr2bl w:val="nil"/>
            </w:tcBorders>
            <w:shd w:val="clear" w:color="auto" w:fill="D6F7FF"/>
            <w:vAlign w:val="center"/>
          </w:tcPr>
          <w:p w14:paraId="03129952">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49DD29F">
        <w:trPr>
          <w:trHeight w:val="4114" w:hRule="atLeast"/>
          <w:jc w:val="center"/>
        </w:trPr>
        <w:tc>
          <w:tcPr>
            <w:tcW w:w="1456" w:type="dxa"/>
            <w:tcBorders>
              <w:tl2br w:val="nil"/>
              <w:tr2bl w:val="nil"/>
            </w:tcBorders>
            <w:shd w:val="clear" w:color="auto" w:fill="auto"/>
            <w:vAlign w:val="center"/>
          </w:tcPr>
          <w:p w14:paraId="1D6E8047">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352F8F8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3D0BB56F">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云端漫步—— 云计算（一）</w:t>
            </w:r>
          </w:p>
          <w:p w14:paraId="5E239B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一、云计算概念</w:t>
            </w:r>
          </w:p>
          <w:p w14:paraId="0EBFEA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云计算是一种创新的模型，它允许用户随时、随地、便捷且随需地从可配置的计算资源共享池中获取所需资源，如网络、服务器、存储、应用及服务等。这些资源能够快速供应和释放，极大地减少了管理资源的工作量和与服务提供商的交互环节。简而言之，云计算使计算、存储、网络等软硬件资源如同水电一般，按需取用，即插即用。</w:t>
            </w:r>
          </w:p>
          <w:p w14:paraId="6164D9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二、“云”服务</w:t>
            </w:r>
          </w:p>
          <w:p w14:paraId="4AFFE5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“云”服务在“云计算”体系中扮演着核心角色，主要包括基础设施即服务（IaaS）、平台即服务（PaaS）和软件即服务（SaaS）三种类型，它们相互依存，共同构成了云计算的基石。</w:t>
            </w:r>
          </w:p>
          <w:p w14:paraId="3273CC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房子”为例，若将房子比作人们生活和工作的必需品，那么在传统模式下，人们需要自己建造房屋，这不仅成本高昂，还需投入大量的人工成本和时间精力。而“云”服务的出现，就如同提供了现成的房屋，供人们使用，无须从零开始建造，从而大大降低了成本和精力投入。</w:t>
            </w:r>
          </w:p>
          <w:p w14:paraId="391C25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IaaS 提供房屋的基础设施，PaaS 则提供房屋内的装修和设施，SaaS 则直接提供可以拎包入住的房屋，每种服务都能满足用户在不同层次上的需求。</w:t>
            </w:r>
          </w:p>
          <w:p w14:paraId="3CA810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IaaS</w:t>
            </w:r>
          </w:p>
          <w:p w14:paraId="6D5212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IaaS 相当于毛坯房，由专业的建筑商负责建造，并以商品的形式向人们进行出售。房屋如何使用，完全由购买者自己决定，屋内的装修家具也可以自己主张。作为一种云计算服务产品，IaaS 服务商支持用户访问服务器、存储器和网络等计算资源。用户可以在服务商的基础架构中搭建自己的平台和应用。</w:t>
            </w:r>
          </w:p>
          <w:p w14:paraId="4AE0FC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PaaS</w:t>
            </w:r>
          </w:p>
          <w:p w14:paraId="61AC1D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PaaS 相当于房屋租赁，房屋用途会被不同的条件所限制，屋内的装修家具都是由建筑商负责，若有额外需求，在租赁也比较方便。作为云计算服务的一种，PaaS 能够提供运算平台与解决方案服务。服务商支持用户访问基于云的环境，而用户则可以在其中构建和交付应用。</w:t>
            </w:r>
          </w:p>
          <w:p w14:paraId="68442A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SaaS</w:t>
            </w:r>
          </w:p>
          <w:p w14:paraId="5429FC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SaaS 则相当于酒店入住，只需要办理“拎包入住”的流程即可，完全不用操心房屋的维护与管理，还有不同的风格和价位，可以随意选择。作为一种软件交付模式，SaaS 在这种交付模式中仅需通过互联网服务用户，而不须通过安装即可使用。</w:t>
            </w:r>
          </w:p>
          <w:p w14:paraId="1283CD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总之，“云”服务作为互联网时代下的主流技术趋势，正在不断地改变着人们的工作和生活方式。</w:t>
            </w:r>
          </w:p>
        </w:tc>
        <w:tc>
          <w:tcPr>
            <w:tcW w:w="1558" w:type="dxa"/>
            <w:tcBorders>
              <w:tl2br w:val="nil"/>
              <w:tr2bl w:val="nil"/>
            </w:tcBorders>
            <w:shd w:val="clear" w:color="auto" w:fill="auto"/>
            <w:vAlign w:val="center"/>
          </w:tcPr>
          <w:p w14:paraId="60F9D8AA">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掌握云端漫步—— 云计算（一）</w:t>
            </w:r>
            <w:r>
              <w:rPr>
                <w:rFonts w:hint="eastAsia" w:ascii="Times New Roman" w:hAnsi="Times New Roman"/>
                <w:b/>
                <w:color w:val="auto"/>
                <w:szCs w:val="24"/>
                <w:lang w:eastAsia="zh-CN"/>
              </w:rPr>
              <w:t>。</w:t>
            </w:r>
          </w:p>
        </w:tc>
      </w:tr>
      <w:tr w14:paraId="7924F15D">
        <w:trPr>
          <w:trHeight w:val="1448" w:hRule="atLeast"/>
          <w:jc w:val="center"/>
        </w:trPr>
        <w:tc>
          <w:tcPr>
            <w:tcW w:w="1456" w:type="dxa"/>
            <w:tcBorders>
              <w:tl2br w:val="nil"/>
              <w:tr2bl w:val="nil"/>
            </w:tcBorders>
            <w:shd w:val="clear" w:color="auto" w:fill="9FECFF"/>
            <w:vAlign w:val="center"/>
          </w:tcPr>
          <w:p w14:paraId="4453AA0D">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C024CFB">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52C1189B">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672D3FD">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云端漫步—— 云计算（一），让学生了解云计算概念和“云”服务</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30A0FD50">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C7712C7">
        <w:trPr>
          <w:trHeight w:val="1308" w:hRule="atLeast"/>
          <w:jc w:val="center"/>
        </w:trPr>
        <w:tc>
          <w:tcPr>
            <w:tcW w:w="1456" w:type="dxa"/>
            <w:tcBorders>
              <w:tl2br w:val="nil"/>
              <w:tr2bl w:val="nil"/>
            </w:tcBorders>
            <w:shd w:val="clear" w:color="auto" w:fill="D6F7FF"/>
            <w:vAlign w:val="center"/>
          </w:tcPr>
          <w:p w14:paraId="536E452E">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1995CF4B">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6075A14">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简述“云”服务的分类。</w:t>
            </w:r>
          </w:p>
        </w:tc>
        <w:tc>
          <w:tcPr>
            <w:tcW w:w="1558" w:type="dxa"/>
            <w:tcBorders>
              <w:tl2br w:val="nil"/>
              <w:tr2bl w:val="nil"/>
            </w:tcBorders>
            <w:shd w:val="clear" w:color="auto" w:fill="D6F7FF"/>
            <w:vAlign w:val="center"/>
          </w:tcPr>
          <w:p w14:paraId="7156EEBD">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EF3DBCF">
        <w:trPr>
          <w:trHeight w:val="6973" w:hRule="atLeast"/>
          <w:jc w:val="center"/>
        </w:trPr>
        <w:tc>
          <w:tcPr>
            <w:tcW w:w="1456" w:type="dxa"/>
            <w:tcBorders>
              <w:tl2br w:val="nil"/>
              <w:tr2bl w:val="nil"/>
            </w:tcBorders>
            <w:shd w:val="clear" w:color="auto" w:fill="auto"/>
            <w:vAlign w:val="center"/>
          </w:tcPr>
          <w:p w14:paraId="2C57CFB4">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398CD4B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02358B27">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云端漫步—— 云计算（二）</w:t>
            </w:r>
          </w:p>
          <w:p w14:paraId="490F49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三、虚拟化和分布式</w:t>
            </w:r>
          </w:p>
          <w:p w14:paraId="1A5771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云计算的核心技术集中在虚拟化与分布式上，两者协同工作，旨在将物理资源重新配置为逻辑资源。虚拟化负责构建资源池，通过计算虚拟化、网络虚拟化和存储虚拟化等技术，实现资源的灵活管理与高效利用。计算虚拟化通常实现一台物理机到多台虚拟机的转换，提升资源利用率；网络虚拟化则优化网络资源分配，简化安全策略配置；存储虚拟化通过整合多个存储资源为一个逻辑存储，解决弹性扩展与数据备份问题。而分布式技术则侧重于如何高效、可靠地使用这些虚拟化的资源池，以确保云计算服务具备的高可用性和可扩展性。</w:t>
            </w:r>
          </w:p>
          <w:p w14:paraId="14ABE1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四、“云”分类</w:t>
            </w:r>
          </w:p>
          <w:p w14:paraId="2B829A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（一）私有云</w:t>
            </w:r>
          </w:p>
          <w:p w14:paraId="244509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私有云专为特定用户或机构构建，虽能实现小范围内的资源优化与一定的社会分工，但仍难以解决大规模物理资源利用效率低下的难题。</w:t>
            </w:r>
          </w:p>
          <w:p w14:paraId="0A5DF9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（二）公有云</w:t>
            </w:r>
          </w:p>
          <w:p w14:paraId="476C0C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公有云面向大众开放，所有入驻的用户均被视为租户，其显著特点是多租户共用资源，且资源能够灵活释放与再分配。这一模式实现了最彻底的社会分工，在大范围内促进了资源的优化配置。然而，公有云的构建，尤其是底层架构，技术门槛高，非一般企业所能及。关于安全问题，尽管部分用户心存顾虑，但对于中小型用户而言，无论是数据泄露风险还是服务中断风险，公有云均远低于自建机房。</w:t>
            </w:r>
          </w:p>
          <w:p w14:paraId="0E4336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（三）社区云</w:t>
            </w:r>
          </w:p>
          <w:p w14:paraId="7C7AB7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社区云是公有云与私有云之间的一种折中方案，特别适用于规模不大但处于敏感行业的客户。由于这些客户在政策和管理上面临限制与风险，难以将业务完全托管于公有云。因此，多家类似企业选择联合共建一个社区云。</w:t>
            </w:r>
          </w:p>
          <w:p w14:paraId="27DEB7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（四）混合云</w:t>
            </w:r>
          </w:p>
          <w:p w14:paraId="63C0F9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混合云是以上几种的任意混合，这种混合可以是计算的、存储的，也可以两者兼而有之。在公有云尚不完全成熟，而私有云存在运维难度较大、部署时间较长、动态扩展难的现阶段，混合云是一种较为理想的平滑过渡方式，短时间内的市场占比将会大幅上升。不混合是相对的，混合是绝对的。在未来，即使不是自家的私有云和公有云做混合，也需要内部的数据与服务与外部的数据与服务进行不断地调用（PaaS 级混合）。并且还有可能，一个大型客户把业务放在不同的公有云上，相当于把鸡蛋放在不同篮子里，不同篮子里的鸡蛋自然需要统一管理，这也算广义的混合。表 3-1 总结了不同云的特点、适合行业及客户。</w:t>
            </w:r>
          </w:p>
          <w:p w14:paraId="1D86D3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default"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89325" cy="727710"/>
                  <wp:effectExtent l="0" t="0" r="15875" b="889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3"/>
                          <a:stretch>
                            <a:fillRect/>
                          </a:stretch>
                        </pic:blipFill>
                        <pic:spPr>
                          <a:xfrm>
                            <a:off x="0" y="0"/>
                            <a:ext cx="3489325" cy="727710"/>
                          </a:xfrm>
                          <a:prstGeom prst="rect">
                            <a:avLst/>
                          </a:prstGeom>
                          <a:noFill/>
                          <a:ln>
                            <a:noFill/>
                          </a:ln>
                        </pic:spPr>
                      </pic:pic>
                    </a:graphicData>
                  </a:graphic>
                </wp:inline>
              </w:drawing>
            </w:r>
          </w:p>
        </w:tc>
        <w:tc>
          <w:tcPr>
            <w:tcW w:w="1558" w:type="dxa"/>
            <w:tcBorders>
              <w:tl2br w:val="nil"/>
              <w:tr2bl w:val="nil"/>
            </w:tcBorders>
            <w:shd w:val="clear" w:color="auto" w:fill="auto"/>
            <w:vAlign w:val="center"/>
          </w:tcPr>
          <w:p w14:paraId="17A01BF1">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通过教师讲解，熟悉云端漫步—— 云计算（二）。</w:t>
            </w:r>
          </w:p>
        </w:tc>
      </w:tr>
      <w:tr w14:paraId="6F8A322F">
        <w:trPr>
          <w:trHeight w:val="1448" w:hRule="atLeast"/>
          <w:jc w:val="center"/>
        </w:trPr>
        <w:tc>
          <w:tcPr>
            <w:tcW w:w="1456" w:type="dxa"/>
            <w:tcBorders>
              <w:tl2br w:val="nil"/>
              <w:tr2bl w:val="nil"/>
            </w:tcBorders>
            <w:shd w:val="clear" w:color="auto" w:fill="9FECFF"/>
            <w:vAlign w:val="center"/>
          </w:tcPr>
          <w:p w14:paraId="358B7743">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360BA7B4">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45468779">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0277210">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云端漫步—— 云计算（二），让学生了解虚拟化和分布式以及“云”分类</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5C6DC94A">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2831151">
        <w:trPr>
          <w:trHeight w:val="1308" w:hRule="atLeast"/>
          <w:jc w:val="center"/>
        </w:trPr>
        <w:tc>
          <w:tcPr>
            <w:tcW w:w="1456" w:type="dxa"/>
            <w:tcBorders>
              <w:tl2br w:val="nil"/>
              <w:tr2bl w:val="nil"/>
            </w:tcBorders>
            <w:shd w:val="clear" w:color="auto" w:fill="D6F7FF"/>
            <w:vAlign w:val="center"/>
          </w:tcPr>
          <w:p w14:paraId="21522727">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3C479171">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228A17F">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私有云、公有云、社区云、混合云各有何特点？</w:t>
            </w:r>
          </w:p>
        </w:tc>
        <w:tc>
          <w:tcPr>
            <w:tcW w:w="1558" w:type="dxa"/>
            <w:tcBorders>
              <w:tl2br w:val="nil"/>
              <w:tr2bl w:val="nil"/>
            </w:tcBorders>
            <w:shd w:val="clear" w:color="auto" w:fill="D6F7FF"/>
            <w:vAlign w:val="center"/>
          </w:tcPr>
          <w:p w14:paraId="7146F2B4">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9F7E82D">
        <w:trPr>
          <w:trHeight w:val="4324" w:hRule="atLeast"/>
          <w:jc w:val="center"/>
        </w:trPr>
        <w:tc>
          <w:tcPr>
            <w:tcW w:w="1456" w:type="dxa"/>
            <w:tcBorders>
              <w:tl2br w:val="nil"/>
              <w:tr2bl w:val="nil"/>
            </w:tcBorders>
            <w:shd w:val="clear" w:color="auto" w:fill="auto"/>
            <w:vAlign w:val="center"/>
          </w:tcPr>
          <w:p w14:paraId="563EA82C">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3F5C96DF">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40136637">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浩如烟海 —— 大数据</w:t>
            </w:r>
          </w:p>
          <w:p w14:paraId="09C8D6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一、揭秘大数据</w:t>
            </w:r>
          </w:p>
          <w:p w14:paraId="13EB36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数据，这一抽象概念随着互联网与云计算的蓬勃发展，其在各领域的应用价值日益凸显。它不仅是政府决策、金融风控、智慧城市建设、企业数字化转型、教育改革以及交通优化等多方面的关键驱动力，更被视为一种宝贵的资源或资产，对各行各业产生着深远影响。IBM 把大数据特征归结为 5V，如图 3-7 所示。</w:t>
            </w:r>
          </w:p>
          <w:p w14:paraId="2FE860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们所提及的大数据，往往聚焦于其应用层面，如公司收集并整理大量用户行为信息，再运用数据分析技术提炼出对公司有价值的结果。而广义上的大数据，是指那些数量庞大且复杂，以至于传统数据处理工具无法在合理时间内有效捕获、管理和处理的数据集合。大数据的核心在于其海量的数据规模与复杂的结构特性，以及对传统数据处理方式的超越。</w:t>
            </w:r>
          </w:p>
          <w:p w14:paraId="730158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08045" cy="2480310"/>
                  <wp:effectExtent l="0" t="0" r="20955" b="889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4"/>
                          <a:stretch>
                            <a:fillRect/>
                          </a:stretch>
                        </pic:blipFill>
                        <pic:spPr>
                          <a:xfrm>
                            <a:off x="0" y="0"/>
                            <a:ext cx="3408045" cy="2480310"/>
                          </a:xfrm>
                          <a:prstGeom prst="rect">
                            <a:avLst/>
                          </a:prstGeom>
                          <a:noFill/>
                          <a:ln>
                            <a:noFill/>
                          </a:ln>
                        </pic:spPr>
                      </pic:pic>
                    </a:graphicData>
                  </a:graphic>
                </wp:inline>
              </w:drawing>
            </w:r>
          </w:p>
          <w:p w14:paraId="4D67E5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二、数据的价值</w:t>
            </w:r>
          </w:p>
          <w:p w14:paraId="114A46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数据的核心在于整理、分析、预测及控制。重点并不是拥有了多少数据，而是拿数据去做什么。如果数据只是堆积在某个地方，那么它将是毫无用处的。它的价值在于“使用性”，而不是数量和存储的位置。任何一种对数据的收集都与它的功能有关。如果不能体现出数据的功能，大数据所有的环节都是低效的，也是没有生命力的。数据的价值密度较低，人们最初看到的只是冰山一角，需要进行深度挖掘。</w:t>
            </w:r>
          </w:p>
          <w:p w14:paraId="01A9B5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三、大数据思维</w:t>
            </w:r>
          </w:p>
          <w:p w14:paraId="002098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（一）整体思维</w:t>
            </w:r>
          </w:p>
          <w:p w14:paraId="1AE3A1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整体思维是基于全部样本得出结论，认为“样本即总体”。在大数据背景下，由于能够获取和掌握海量数据，甚至是尽可能多的全部数据，这种思维方式得以真正实现。它使我们能够全面、细致地考察数据中的每一个细节，并据此进行深入分析。当数据量足够庞大时，人们会更有信心地把握未来趋势，从而做出更为精准的决策。相较于传统采样方法可能带来的结论偏差，整体思维依据全部样本得出的结论更为真实可靠，数据规模越大，其真实性和准确性也就越高。</w:t>
            </w:r>
          </w:p>
          <w:p w14:paraId="52AF6E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（二）相关思维</w:t>
            </w:r>
          </w:p>
          <w:p w14:paraId="5EB525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充满不确定的时代背景下，过度追求因果关系往往导致错失机遇。相关思维强调，我们无须深究“为什么”，只须关注“是什么”。因为当我们试图找到准确的因果关系时，可能已经错过了采取行动的最佳时机。因此，社会应转变思维，不再单纯渴求因果关系，而是将重点放在挖掘相关关系上。为了快速获取即时信息并进行实时预测，发现并利用相关性信息变得尤为重要，这比寻找因果关系信息更能帮助我们及时做出决策。</w:t>
            </w:r>
          </w:p>
          <w:p w14:paraId="49ED31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（三）容错思维</w:t>
            </w:r>
          </w:p>
          <w:p w14:paraId="0C8E88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实践表明，仅有 5% 的数据是结构化且适用于传统数据库。若不接受容错思维，剩余的 95%的非结构化数据将无法得到利用。在小数据时代，由于收集的信息有限，必须确保数据的精确性。然而，进入大数据时代后，放宽容错标准使得我们能够充分利用这 95% 的数据，进行更多创新性的探索。当然，这并不意味着数据可以完全错误，而是要在容错的前提下，挖掘数据的价值，帮助我们更接近事实真相。运用容错思维，我们能够更好地利用非结构化数据，为决策提供更全面的支持。</w:t>
            </w:r>
          </w:p>
          <w:p w14:paraId="23FD22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四、Hadoop</w:t>
            </w:r>
          </w:p>
          <w:p w14:paraId="2B5E0E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（一）Hadoop 架构</w:t>
            </w:r>
          </w:p>
          <w:p w14:paraId="70B36A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Hadoop 是 Apache 基金会在谷歌三驾马车基础上的开源实现，丰富了 Zookeeper、Spark 及Flume 等多个模块，从而构建起大数据处理底层分布式基础架构生态系统，如图 3-8 所示。</w:t>
            </w:r>
          </w:p>
          <w:p w14:paraId="568944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266440" cy="2133600"/>
                  <wp:effectExtent l="0" t="0" r="10160" b="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5"/>
                          <a:stretch>
                            <a:fillRect/>
                          </a:stretch>
                        </pic:blipFill>
                        <pic:spPr>
                          <a:xfrm>
                            <a:off x="0" y="0"/>
                            <a:ext cx="3266440" cy="2133600"/>
                          </a:xfrm>
                          <a:prstGeom prst="rect">
                            <a:avLst/>
                          </a:prstGeom>
                          <a:noFill/>
                          <a:ln>
                            <a:noFill/>
                          </a:ln>
                        </pic:spPr>
                      </pic:pic>
                    </a:graphicData>
                  </a:graphic>
                </wp:inline>
              </w:drawing>
            </w:r>
          </w:p>
          <w:p w14:paraId="27239D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（二）HDFS</w:t>
            </w:r>
          </w:p>
          <w:p w14:paraId="01EAD1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HDFS（Hadoop 分布式文件系统）是 Hadoop 生态的基础和核心，其结构如图 3-9 所示。</w:t>
            </w:r>
          </w:p>
          <w:p w14:paraId="088948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139440" cy="1974850"/>
                  <wp:effectExtent l="0" t="0" r="10160" b="635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6"/>
                          <a:stretch>
                            <a:fillRect/>
                          </a:stretch>
                        </pic:blipFill>
                        <pic:spPr>
                          <a:xfrm>
                            <a:off x="0" y="0"/>
                            <a:ext cx="3139440" cy="1974850"/>
                          </a:xfrm>
                          <a:prstGeom prst="rect">
                            <a:avLst/>
                          </a:prstGeom>
                          <a:noFill/>
                          <a:ln>
                            <a:noFill/>
                          </a:ln>
                        </pic:spPr>
                      </pic:pic>
                    </a:graphicData>
                  </a:graphic>
                </wp:inline>
              </w:drawing>
            </w:r>
          </w:p>
          <w:p w14:paraId="5A82EB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从图 3-9 可知。</w:t>
            </w:r>
          </w:p>
          <w:p w14:paraId="2050BA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（1）HDFS 由 1 个 NameNode、1 个 Secondary NameNode 以及多个 DataNode 组成。</w:t>
            </w:r>
          </w:p>
          <w:p w14:paraId="09E4CF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（2）NameNode 称为名称节点、命名空间、主节点或元数据节点，主要存放元数据（Meta）。</w:t>
            </w:r>
          </w:p>
          <w:p w14:paraId="7B02BE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（3）Secondary NameNode 称为从元数据节点，是命名空间的冷备份。</w:t>
            </w:r>
          </w:p>
          <w:p w14:paraId="21EB4C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（4）DataNode 称为数据节点，是存放数据的物理空间，以块（Block）为基本单位。</w:t>
            </w:r>
          </w:p>
          <w:p w14:paraId="36E84E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（5）NameNode 和 DataNode 是主从结构。</w:t>
            </w:r>
          </w:p>
          <w:p w14:paraId="66D931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（6）块是 HDFS 操作的最小单位，一般为 128MB。</w:t>
            </w:r>
          </w:p>
          <w:p w14:paraId="1C692E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（7）元数据（Meta）由文件目录结构信息（Catalogue）与操作日志信息（Log）组成，是对数据的描述信息。</w:t>
            </w:r>
          </w:p>
          <w:p w14:paraId="43A075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（8）NameNode 只存放 Catalogue，和 Secondary NameNode 之间只相差 3600s 的 Catalogue数据。</w:t>
            </w:r>
          </w:p>
          <w:p w14:paraId="1F9233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（9）D ataNode 按机架（Rack）进行组织。</w:t>
            </w:r>
          </w:p>
          <w:p w14:paraId="15392C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（10）客户端只能同 N ameNode 交互。</w:t>
            </w:r>
          </w:p>
          <w:p w14:paraId="16E626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（11）一个数据块通常要备份 3 份。第一份放到任务发起用户所在节点，如果请求是集群外发起，就随机选一不忙的节点；第二份放到与第一份不同的机架的节点上，第三份放到与第一份所在机架不同节点上，如图 3-9 中标记黑色的块。</w:t>
            </w:r>
          </w:p>
          <w:p w14:paraId="70F7B0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（12）D ataNode 定时向 N ameNode 发送状态信息（心跳，Heartbeats），维护 Block 到本地文件系统（HDFS Client）的映射关系。</w:t>
            </w:r>
          </w:p>
          <w:p w14:paraId="557321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（13）N ameNode 的主要任务是监控心跳、负载平衡及数据块备份的位置信息。</w:t>
            </w:r>
          </w:p>
          <w:p w14:paraId="4C63CB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（三）MapReduce</w:t>
            </w:r>
          </w:p>
          <w:p w14:paraId="1FAF86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图 3-10 给出了 MapReduce 基本架构。</w:t>
            </w:r>
          </w:p>
          <w:p w14:paraId="021683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bookmarkStart w:id="0" w:name="_GoBack"/>
            <w:r>
              <w:drawing>
                <wp:inline distT="0" distB="0" distL="114300" distR="114300">
                  <wp:extent cx="3117850" cy="2927350"/>
                  <wp:effectExtent l="0" t="0" r="6350" b="1905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7"/>
                          <a:stretch>
                            <a:fillRect/>
                          </a:stretch>
                        </pic:blipFill>
                        <pic:spPr>
                          <a:xfrm>
                            <a:off x="0" y="0"/>
                            <a:ext cx="3117850" cy="2927350"/>
                          </a:xfrm>
                          <a:prstGeom prst="rect">
                            <a:avLst/>
                          </a:prstGeom>
                          <a:noFill/>
                          <a:ln>
                            <a:noFill/>
                          </a:ln>
                        </pic:spPr>
                      </pic:pic>
                    </a:graphicData>
                  </a:graphic>
                </wp:inline>
              </w:drawing>
            </w:r>
            <w:bookmarkEnd w:id="0"/>
          </w:p>
          <w:p w14:paraId="643633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从图 3-10 可知。</w:t>
            </w:r>
          </w:p>
          <w:p w14:paraId="73C29A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（1）MapReduce 由若干 Map 过程与若干 Reduce 过程构成。</w:t>
            </w:r>
          </w:p>
          <w:p w14:paraId="48D3F6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（2）MapReduce 是一个分布式计算框架。</w:t>
            </w:r>
          </w:p>
          <w:p w14:paraId="1833F5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（3）Map 过程就是数据分解。</w:t>
            </w:r>
          </w:p>
          <w:p w14:paraId="062EE9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（4）Reduce 过程就是计算汇总。</w:t>
            </w:r>
          </w:p>
          <w:p w14:paraId="4E6AF7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（5）数据来自 HDFS，计算结果存储到 HDFS。</w:t>
            </w:r>
          </w:p>
          <w:p w14:paraId="1DCC65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（6）整个计算过程需要四个键值对。</w:t>
            </w:r>
          </w:p>
          <w:p w14:paraId="7A26BD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（7）Map 和 Reduce 之间通过 Shuff le 进行通信。</w:t>
            </w:r>
          </w:p>
        </w:tc>
        <w:tc>
          <w:tcPr>
            <w:tcW w:w="1558" w:type="dxa"/>
            <w:tcBorders>
              <w:tl2br w:val="nil"/>
              <w:tr2bl w:val="nil"/>
            </w:tcBorders>
            <w:shd w:val="clear" w:color="auto" w:fill="auto"/>
            <w:vAlign w:val="center"/>
          </w:tcPr>
          <w:p w14:paraId="70E6A7E4">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认识浩如烟海 —— 大数据</w:t>
            </w:r>
            <w:r>
              <w:rPr>
                <w:rFonts w:hint="eastAsia" w:ascii="Times New Roman" w:hAnsi="Times New Roman"/>
                <w:b/>
                <w:color w:val="auto"/>
                <w:szCs w:val="24"/>
                <w:lang w:eastAsia="zh-CN"/>
              </w:rPr>
              <w:t>。</w:t>
            </w:r>
          </w:p>
        </w:tc>
      </w:tr>
      <w:tr w14:paraId="5A19E20A">
        <w:trPr>
          <w:trHeight w:val="1448" w:hRule="atLeast"/>
          <w:jc w:val="center"/>
        </w:trPr>
        <w:tc>
          <w:tcPr>
            <w:tcW w:w="1456" w:type="dxa"/>
            <w:tcBorders>
              <w:tl2br w:val="nil"/>
              <w:tr2bl w:val="nil"/>
            </w:tcBorders>
            <w:shd w:val="clear" w:color="auto" w:fill="9FECFF"/>
            <w:vAlign w:val="center"/>
          </w:tcPr>
          <w:p w14:paraId="09A36F65">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ABCAF83">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274FAA9B">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94490CB">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浩如烟海 —— 大数据，让学生了解大数据的定义以及大数据在各行业中的实际应用场景</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296AD828">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33F5A5B">
        <w:trPr>
          <w:trHeight w:val="1308" w:hRule="atLeast"/>
          <w:jc w:val="center"/>
        </w:trPr>
        <w:tc>
          <w:tcPr>
            <w:tcW w:w="1456" w:type="dxa"/>
            <w:tcBorders>
              <w:tl2br w:val="nil"/>
              <w:tr2bl w:val="nil"/>
            </w:tcBorders>
            <w:shd w:val="clear" w:color="auto" w:fill="D6F7FF"/>
            <w:vAlign w:val="center"/>
          </w:tcPr>
          <w:p w14:paraId="0550F113">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777C5B56">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A3DAF4C">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整体思维和相关思维是如何帮助企业更全面地理解数据并做出决策的？</w:t>
            </w:r>
          </w:p>
        </w:tc>
        <w:tc>
          <w:tcPr>
            <w:tcW w:w="1558" w:type="dxa"/>
            <w:tcBorders>
              <w:tl2br w:val="nil"/>
              <w:tr2bl w:val="nil"/>
            </w:tcBorders>
            <w:shd w:val="clear" w:color="auto" w:fill="D6F7FF"/>
            <w:vAlign w:val="center"/>
          </w:tcPr>
          <w:p w14:paraId="26015F3E">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E0153E6">
        <w:trPr>
          <w:trHeight w:val="884" w:hRule="atLeast"/>
          <w:jc w:val="center"/>
        </w:trPr>
        <w:tc>
          <w:tcPr>
            <w:tcW w:w="1456" w:type="dxa"/>
            <w:tcBorders>
              <w:tl2br w:val="nil"/>
              <w:tr2bl w:val="nil"/>
            </w:tcBorders>
            <w:shd w:val="clear" w:color="auto" w:fill="auto"/>
            <w:vAlign w:val="center"/>
          </w:tcPr>
          <w:p w14:paraId="5FE8DA1D">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858210B">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76032B32">
            <w:pPr>
              <w:keepNext w:val="0"/>
              <w:keepLines w:val="0"/>
              <w:suppressLineNumbers w:val="0"/>
              <w:spacing w:before="0" w:beforeAutospacing="0" w:after="0" w:afterAutospacing="0" w:line="380" w:lineRule="exact"/>
              <w:ind w:left="0" w:right="0"/>
              <w:rPr>
                <w:rFonts w:hint="default" w:ascii="Times New Roman" w:hAnsi="Times New Roman"/>
                <w:b/>
                <w:color w:val="C00000"/>
                <w:lang w:val="en-US"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环环相扣 —— 区块链</w:t>
            </w:r>
          </w:p>
          <w:p w14:paraId="7DCCB5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一、区块链概述</w:t>
            </w:r>
          </w:p>
          <w:p w14:paraId="6EF53D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区块链是一种块链式存储、不可篡改、安全可信的去中心化分布式账本 ，它结合了分布式存储、点对点传输、共识机制、密码学等技术 ，通过不断增长的数据块链记录交易和信息，以此确保数据的安全和透明性。区块链是一种网络上多人共同记录的公共记账系统，全面记录所有交易信息。以往，账本由单一个体掌管，存在贪污舞弊的风险。而今，通过区块链技术，每个人都拥有一个账本，共同参与记账与对账，从而大大降低了作弊的可能性。这些个体账本即为区块，它们共同构成了完整且透明的区块链。</w:t>
            </w:r>
          </w:p>
          <w:p w14:paraId="058974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（二）区块链的主要特征</w:t>
            </w:r>
          </w:p>
          <w:p w14:paraId="06A9A1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去中心化</w:t>
            </w:r>
          </w:p>
          <w:p w14:paraId="62A2DD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统记账方式是一个人记账，记账的那个人就是中心。但在区域链接系统中，每个人有一个账本，所以也就没有中心了。也就是说，区块链基于分布式存储数据，没有中心进行管理，某个节点受到攻击和篡改不会影响整个网络的正常运作。</w:t>
            </w:r>
          </w:p>
          <w:p w14:paraId="333E71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去信任</w:t>
            </w:r>
          </w:p>
          <w:p w14:paraId="4871D3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区块链系统中所有节点之间无须信任也可以进行交易，因为数据库和整个系统的运作是公开透明的，在系统的规则和时间范围内，节点之间无法互相欺骗。</w:t>
            </w:r>
          </w:p>
          <w:p w14:paraId="74FC45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开放性</w:t>
            </w:r>
          </w:p>
          <w:p w14:paraId="06F0B3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区块链系统是开放的，除了交易各方的私有信息被加密外，区块链的数据对所有人公开，任何人都可以通过公开的接口查询区块链数据和开发相关应用，因此整个系统信息高度透明。</w:t>
            </w:r>
          </w:p>
          <w:p w14:paraId="4DB623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自治性</w:t>
            </w:r>
          </w:p>
          <w:p w14:paraId="261E10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区块链采用基于协商一致的规范和协议，使整个系统中的所有节点能够在去信任的环境自由安全地交换数据，使对“人”的信任改成了对机器的信任，任何人为的干预都无法发挥作用。</w:t>
            </w:r>
          </w:p>
          <w:p w14:paraId="7D2A90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信息不可篡改</w:t>
            </w:r>
          </w:p>
          <w:p w14:paraId="64F6FB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一旦信息经过验证并添加至区块链，就会永久地存储起来，除非能够同时控制住系统中超过 51% 的节点，否则单个节点上对数据库的修改是无效的，因此区块链的数据稳定性和可靠性极高。</w:t>
            </w:r>
          </w:p>
          <w:p w14:paraId="3828B1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 匿名性</w:t>
            </w:r>
          </w:p>
          <w:p w14:paraId="53B11F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由于节点之间的交换遵循固定的算法，其数据交互是无须信任的（区块链中的程序规则会自行判断活动是否有效），因此交易对手无须通过公开身份的方式让对方对自己产生信任，这种特征对信用的累积非常有帮助。</w:t>
            </w:r>
          </w:p>
          <w:p w14:paraId="32D8FF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二、区块链核心技术</w:t>
            </w:r>
          </w:p>
          <w:p w14:paraId="30FD61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（一）区块链的链接</w:t>
            </w:r>
          </w:p>
          <w:p w14:paraId="2A545D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区块链由一个个区块顺序链接而成如图 3-13 所示。每个区块均包含区块头和区块体两大部分，其中区块体存储交易数据。它区块头则至关重要，它包含了前一区块的哈希值，用于实现区块间的紧密链接，同时还包含一个随机数，该随机数在挖矿过程中起着决定性作用，其计算规则直接关乎哪个矿工能有幸获得记录新区块的权利。前一区块的哈希值，实质上是上一个区块头部哈希值的精确复制，如此确保了区块链的连续性和完整性。</w:t>
            </w:r>
          </w:p>
          <w:p w14:paraId="62F0DD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（二）共识机制</w:t>
            </w:r>
          </w:p>
          <w:p w14:paraId="632D09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可视为一种互联网上的去中心化记账系统，如比特币这类去中心化数字货币，需确保在无中心节点时各诚实节点记账的一致性。区块链技术的核心在于，它能在无中心控制且个体间缺乏信任的基础上，就交易合法性等达成共识。当前，区块链的共识机制主要有四类： PoW（工作量证明）、PoS（权益证明）、DPoS （委托权益证明）及分布式一致性算法。</w:t>
            </w:r>
          </w:p>
          <w:p w14:paraId="25D4AB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（三）解锁脚本</w:t>
            </w:r>
          </w:p>
          <w:p w14:paraId="78A383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脚本是区块链实现自动验证、自动执行合约的重要技术。每一笔交易的每一项输出严格意义上并不是指向一个地址，而是指向一个脚本。脚本类似一套规则，它约束着接收方怎样才能使用这个输出上锁定资产的条件。</w:t>
            </w:r>
          </w:p>
          <w:p w14:paraId="1E0751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交易合法性的验证也依赖于脚本。目前它依赖于两类脚本：锁定脚本与解锁脚本。锁定脚本是在输出交易上加上的条件，通过一段脚本语言来实现，位于交易的输出。解锁脚本与锁定脚本相对应，只有满足锁定脚本要求的条件，才能使用这个脚本上对应的资产，它位于交易的输入。通过脚本语言可以表达很多灵活的条件。解释脚本是通过类似编程领域里的“虚拟机”，在区块链网络里的每一个节点上分布式运行。</w:t>
            </w:r>
          </w:p>
          <w:p w14:paraId="72B48A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（四）交易规则</w:t>
            </w:r>
          </w:p>
          <w:p w14:paraId="67F344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区块链中的交易，不仅是构成区块的基本单元，更是区块链记录的核心有效内容。这些交易形式多样，既可以是简单的转账操作，也能是智能合约的部署或其他各类事务。</w:t>
            </w:r>
          </w:p>
          <w:p w14:paraId="65E7F8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（五）Merk le 证明</w:t>
            </w:r>
          </w:p>
          <w:p w14:paraId="3D6491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Merk le 证明最早应用是比特币系统，它是由中本聪在 2009 年描述并且创造的。比特币区块链使用了 Merk le 证明，旨在将交易存储于每一个区块中，使交易不能被篡改，同时也容易验证交易是否包含在一个特定区块中。</w:t>
            </w:r>
          </w:p>
          <w:p w14:paraId="442BE2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（六）RLP</w:t>
            </w:r>
          </w:p>
          <w:p w14:paraId="2D609A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RLP（Recursive Length Prefix，递归长度前缀编码）是 Ethe reum 中对象序列化的一种主要编码方式，其作用是对任意嵌套的二进制数据的序列进行编码。</w:t>
            </w:r>
          </w:p>
          <w:p w14:paraId="1F28BD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三、区块链与人工智能的结合</w:t>
            </w:r>
          </w:p>
          <w:p w14:paraId="6984A6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区块链应用的场景很多。其面临最大的难题可能远在技术之外，因为区块链商用涉及各方的利益。</w:t>
            </w:r>
          </w:p>
          <w:p w14:paraId="05B735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人工智能的学习特性和区块链的加密安全性，已被视为未来科技发展的两大不可抗拒力量。近年来，区块链技术备受瞩目， Google 对区块链的搜索请求在过去一年中激增了 250%，充分凸显其在科技领域的突出地位。</w:t>
            </w:r>
          </w:p>
          <w:p w14:paraId="6DDCBF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区块链底层安全成本低，为集群计算安全提供支撑</w:t>
            </w:r>
          </w:p>
          <w:p w14:paraId="05A6F0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根本上讲，区块链是一系列信息，可以添加但不能重写。这意味着可以创建新细节的附件，形成新的区块，传统的加密安全内容在任何情况下都不会改变。区块链的安全性是通过共识驱动的。这使区块链成为一种独特的安全在线业务模式，具有值得信赖的所有权记录。从根本上讲，区块链是第一种能够以分散的方式转移数字化所有权的技术。</w:t>
            </w:r>
          </w:p>
          <w:p w14:paraId="11343E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人工智能能够保障区块链高层安全</w:t>
            </w:r>
          </w:p>
          <w:p w14:paraId="5FF441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通过机器学习，人工智能能够自动进行预测分析，使计算机能利用大型数据集做出精准明智的决策。区块链技术底层虽极为安全，但其高层应用（如 DAO、Mt.Gox、Bitfinex 等）却存在安全隐患。近年来，机器学习在复杂性上取得显著进步，促使人工智能能够提供安全的应用程序部署，确保区块链各组件的安全可靠。即便在加密状态下，人工智能也能迅速构建基于大数据的算法。而区块链能以非加密方式处理信息，进一步确保人工智能保障的数据安全无虞。</w:t>
            </w:r>
          </w:p>
          <w:p w14:paraId="3D36BC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人工智能能够为区块链管理带来大量的计算</w:t>
            </w:r>
          </w:p>
          <w:p w14:paraId="4E0CC8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传统计算机上管理区块链，需要大量的处理能力来完成任务，这是由于区块链具有很强的加密性质，以及缺乏完成这些任务的显式指令。但随着人工智能适应性的逐渐增强，区块链的管理方式被一种更为精确性的方式所取代，这种方式是更智能的机器所能够发挥的。</w:t>
            </w:r>
          </w:p>
          <w:p w14:paraId="2159D3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区块链和人工智能协同效应是双向的</w:t>
            </w:r>
          </w:p>
          <w:p w14:paraId="5A1ECA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类在计算中易出错且速度较慢，因此人工智能在处理区块链技术时展现出独特优势。同时，区块链技术也为人工智能带来了诸多提升。区块链显著提升了人工智能的可信度，使其能更轻松地通过信息链解释决策过程。凭借强大的信息处理能力，区块链丰富的数据让人工智能程序更加高效。此外，区块链在降低人工智能处理敏感数据风险方面具有巨大潜力。智能合约作为区块链与人工智能结合的重要领域，正助力诸多产业发展，如就业、网购、住房等，已有公司利用区块链实现房地产资产所有权的便捷转移。</w:t>
            </w:r>
          </w:p>
        </w:tc>
        <w:tc>
          <w:tcPr>
            <w:tcW w:w="1558" w:type="dxa"/>
            <w:tcBorders>
              <w:tl2br w:val="nil"/>
              <w:tr2bl w:val="nil"/>
            </w:tcBorders>
            <w:shd w:val="clear" w:color="auto" w:fill="auto"/>
            <w:vAlign w:val="center"/>
          </w:tcPr>
          <w:p w14:paraId="1D34DEA8">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理解环环相扣 —— 区块链</w:t>
            </w:r>
            <w:r>
              <w:rPr>
                <w:rFonts w:hint="eastAsia" w:ascii="Times New Roman" w:hAnsi="Times New Roman"/>
                <w:b/>
                <w:color w:val="auto"/>
                <w:szCs w:val="24"/>
                <w:lang w:eastAsia="zh-CN"/>
              </w:rPr>
              <w:t>。</w:t>
            </w:r>
          </w:p>
        </w:tc>
      </w:tr>
      <w:tr w14:paraId="6BEE179D">
        <w:trPr>
          <w:trHeight w:val="1448" w:hRule="atLeast"/>
          <w:jc w:val="center"/>
        </w:trPr>
        <w:tc>
          <w:tcPr>
            <w:tcW w:w="1456" w:type="dxa"/>
            <w:tcBorders>
              <w:tl2br w:val="nil"/>
              <w:tr2bl w:val="nil"/>
            </w:tcBorders>
            <w:shd w:val="clear" w:color="auto" w:fill="9FECFF"/>
            <w:vAlign w:val="center"/>
          </w:tcPr>
          <w:p w14:paraId="19FE8E57">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CD6EB86">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31AC5441">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4D4EC03D">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环环相扣 —— 区块链，让学生了解区块链在信息存储与交互中的重要作用</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0CCA96E4">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5FB45E47">
        <w:trPr>
          <w:trHeight w:val="1308" w:hRule="atLeast"/>
          <w:jc w:val="center"/>
        </w:trPr>
        <w:tc>
          <w:tcPr>
            <w:tcW w:w="1456" w:type="dxa"/>
            <w:tcBorders>
              <w:tl2br w:val="nil"/>
              <w:tr2bl w:val="nil"/>
            </w:tcBorders>
            <w:shd w:val="clear" w:color="auto" w:fill="D6F7FF"/>
            <w:vAlign w:val="center"/>
          </w:tcPr>
          <w:p w14:paraId="1EC66D08">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735D2478">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F2411EC">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不同的共识机制之间有何优劣？</w:t>
            </w:r>
          </w:p>
        </w:tc>
        <w:tc>
          <w:tcPr>
            <w:tcW w:w="1558" w:type="dxa"/>
            <w:tcBorders>
              <w:tl2br w:val="nil"/>
              <w:tr2bl w:val="nil"/>
            </w:tcBorders>
            <w:shd w:val="clear" w:color="auto" w:fill="D6F7FF"/>
            <w:vAlign w:val="center"/>
          </w:tcPr>
          <w:p w14:paraId="3DDF2021">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BDFCA59">
        <w:trPr>
          <w:trHeight w:val="776" w:hRule="atLeast"/>
          <w:jc w:val="center"/>
        </w:trPr>
        <w:tc>
          <w:tcPr>
            <w:tcW w:w="1456" w:type="dxa"/>
            <w:tcBorders>
              <w:tl2br w:val="nil"/>
              <w:tr2bl w:val="nil"/>
            </w:tcBorders>
            <w:shd w:val="clear" w:color="auto" w:fill="E1FAFF"/>
            <w:vAlign w:val="center"/>
          </w:tcPr>
          <w:p w14:paraId="77FF5641">
            <w:pPr>
              <w:keepNext w:val="0"/>
              <w:keepLines w:val="0"/>
              <w:suppressLineNumbers w:val="0"/>
              <w:spacing w:before="0" w:beforeAutospacing="0" w:after="0" w:afterAutospacing="0"/>
              <w:ind w:left="0" w:right="0"/>
              <w:jc w:val="center"/>
              <w:rPr>
                <w:rFonts w:hint="default" w:ascii="微软雅黑" w:hAnsi="微软雅黑" w:eastAsia="微软雅黑"/>
                <w:b/>
                <w:color w:val="auto"/>
                <w:sz w:val="24"/>
                <w:szCs w:val="24"/>
              </w:rPr>
            </w:pPr>
            <w:r>
              <w:rPr>
                <w:rFonts w:hint="eastAsia" w:ascii="微软雅黑" w:hAnsi="微软雅黑" w:eastAsia="微软雅黑"/>
                <w:b/>
                <w:color w:val="auto"/>
                <w:sz w:val="24"/>
                <w:szCs w:val="24"/>
              </w:rPr>
              <w:t>教学反思</w:t>
            </w:r>
          </w:p>
        </w:tc>
        <w:tc>
          <w:tcPr>
            <w:tcW w:w="8183" w:type="dxa"/>
            <w:gridSpan w:val="2"/>
            <w:tcBorders>
              <w:tl2br w:val="nil"/>
              <w:tr2bl w:val="nil"/>
            </w:tcBorders>
            <w:shd w:val="clear" w:color="auto" w:fill="E1FAFF"/>
            <w:vAlign w:val="center"/>
          </w:tcPr>
          <w:p w14:paraId="088FA6EE">
            <w:pPr>
              <w:keepNext w:val="0"/>
              <w:keepLines w:val="0"/>
              <w:suppressLineNumbers w:val="0"/>
              <w:spacing w:before="0" w:beforeAutospacing="0" w:after="0" w:afterAutospacing="0" w:line="380" w:lineRule="exact"/>
              <w:ind w:left="0" w:right="0" w:firstLine="420" w:firstLineChars="200"/>
              <w:rPr>
                <w:rFonts w:hint="eastAsia" w:ascii="Times New Roman" w:hAnsi="Times New Roman" w:eastAsia="宋体"/>
                <w:lang w:val="en-US" w:eastAsia="zh-CN"/>
              </w:rPr>
            </w:pPr>
            <w:r>
              <w:rPr>
                <w:rFonts w:hint="eastAsia" w:ascii="Times New Roman" w:hAnsi="Times New Roman"/>
                <w:lang w:val="en-US" w:eastAsia="zh-CN"/>
              </w:rPr>
              <w:t>课堂</w:t>
            </w:r>
            <w:r>
              <w:rPr>
                <w:rFonts w:hint="default" w:ascii="Times New Roman" w:hAnsi="Times New Roman"/>
              </w:rPr>
              <w:t>营造更包容的课堂氛围，鼓励学生大胆表达，对积极参与的学生给予更多肯定。同时，建立多样化的反馈渠道</w:t>
            </w:r>
            <w:r>
              <w:rPr>
                <w:rFonts w:hint="eastAsia" w:ascii="Times New Roman" w:hAnsi="Times New Roman"/>
                <w:lang w:eastAsia="zh-CN"/>
              </w:rPr>
              <w:t>。</w:t>
            </w:r>
          </w:p>
        </w:tc>
      </w:tr>
    </w:tbl>
    <w:p w14:paraId="095B2BB8">
      <w:pPr>
        <w:rPr>
          <w:rFonts w:hint="eastAsia"/>
          <w:lang w:eastAsia="zh-CN"/>
        </w:rPr>
      </w:pPr>
    </w:p>
    <w:sectPr>
      <w:headerReference r:id="rId7" w:type="default"/>
      <w:footerReference r:id="rId8" w:type="default"/>
      <w:pgSz w:w="11906" w:h="16838"/>
      <w:pgMar w:top="737" w:right="737" w:bottom="737" w:left="737" w:header="567" w:footer="567" w:gutter="0"/>
      <w:pgBorders>
        <w:top w:val="none" w:sz="0" w:space="0"/>
        <w:left w:val="none" w:sz="0" w:space="0"/>
        <w:bottom w:val="none" w:sz="0" w:space="0"/>
        <w:right w:val="none" w:sz="0" w:space="0"/>
      </w:pgBorders>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embedRegular r:id="rId1" w:fontKey="{234B355C-6ED8-25DB-5C22-C367BC073404}"/>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B555AE32-37EC-BCFB-5C22-C3672798A6B6}"/>
  </w:font>
  <w:font w:name="等线">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方正大标宋简体">
    <w:panose1 w:val="02000000000000000000"/>
    <w:charset w:val="86"/>
    <w:family w:val="auto"/>
    <w:pitch w:val="default"/>
    <w:sig w:usb0="A00002BF" w:usb1="184F6CFA" w:usb2="00000012" w:usb3="00000000" w:csb0="00040001" w:csb1="00000000"/>
  </w:font>
  <w:font w:name="Microsoft YaHei Bold">
    <w:altName w:val="苹方-简"/>
    <w:panose1 w:val="020B0503020204020204"/>
    <w:charset w:val="86"/>
    <w:family w:val="auto"/>
    <w:pitch w:val="default"/>
    <w:sig w:usb0="00000000" w:usb1="00000000" w:usb2="00000016" w:usb3="00000000" w:csb0="0004001F" w:csb1="00000000"/>
  </w:font>
  <w:font w:name="微软雅黑">
    <w:altName w:val="汉仪旗黑"/>
    <w:panose1 w:val="020B0503020204020204"/>
    <w:charset w:val="86"/>
    <w:family w:val="auto"/>
    <w:pitch w:val="default"/>
    <w:sig w:usb0="00000000" w:usb1="00000000" w:usb2="00000016" w:usb3="00000000" w:csb0="0004001F" w:csb1="00000000"/>
  </w:font>
  <w:font w:name="汉仪中等线KW">
    <w:panose1 w:val="01010104010101010101"/>
    <w:charset w:val="86"/>
    <w:family w:val="auto"/>
    <w:pitch w:val="default"/>
    <w:sig w:usb0="800002BF" w:usb1="004F7CFA" w:usb2="00000000" w:usb3="00000000" w:csb0="00040001" w:csb1="00000000"/>
  </w:font>
  <w:font w:name="宋体-简">
    <w:panose1 w:val="02010800040101010101"/>
    <w:charset w:val="86"/>
    <w:family w:val="auto"/>
    <w:pitch w:val="default"/>
    <w:sig w:usb0="00000001" w:usb1="080F0000" w:usb2="00000000" w:usb3="00000000" w:csb0="00040000" w:csb1="00000000"/>
  </w:font>
  <w:font w:name="汉仪中黑KW">
    <w:panose1 w:val="00020600040101010101"/>
    <w:charset w:val="86"/>
    <w:family w:val="auto"/>
    <w:pitch w:val="default"/>
    <w:sig w:usb0="A00002BF" w:usb1="18EF7CFA" w:usb2="00000016" w:usb3="00000000" w:csb0="00040000" w:csb1="00000000"/>
  </w:font>
  <w:font w:name="汉仪书宋二KW">
    <w:panose1 w:val="00020600040101010101"/>
    <w:charset w:val="86"/>
    <w:family w:val="auto"/>
    <w:pitch w:val="default"/>
    <w:sig w:usb0="A00002BF" w:usb1="18EF7CFA" w:usb2="00000016" w:usb3="00000000" w:csb0="00040000" w:csb1="00000000"/>
  </w:font>
  <w:font w:name="儷宋 Pro">
    <w:panose1 w:val="02020300000000000000"/>
    <w:charset w:val="88"/>
    <w:family w:val="auto"/>
    <w:pitch w:val="default"/>
    <w:sig w:usb0="80000001" w:usb1="28091800" w:usb2="00000016" w:usb3="00000000" w:csb0="00100000" w:csb1="00000000"/>
  </w:font>
  <w:font w:name="苹方-简">
    <w:panose1 w:val="020B0400000000000000"/>
    <w:charset w:val="86"/>
    <w:family w:val="auto"/>
    <w:pitch w:val="default"/>
    <w:sig w:usb0="A00002FF" w:usb1="7ACFFDFB" w:usb2="00000017" w:usb3="00000000" w:csb0="00040001"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 w:name="Helvetica Neue">
    <w:panose1 w:val="02000503000000020004"/>
    <w:charset w:val="00"/>
    <w:family w:val="auto"/>
    <w:pitch w:val="default"/>
    <w:sig w:usb0="E50002FF" w:usb1="500079DB" w:usb2="0000001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5884EF">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A84F07">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67DD84">
    <w:pPr>
      <w:pStyle w:val="5"/>
    </w:pPr>
    <w:r>
      <w:rPr>
        <w:sz w:val="18"/>
      </w:rPr>
      <mc:AlternateContent>
        <mc:Choice Requires="wps">
          <w:drawing>
            <wp:anchor distT="0" distB="0" distL="114300" distR="114300" simplePos="0" relativeHeight="251661312" behindDoc="0" locked="0" layoutInCell="1" allowOverlap="1">
              <wp:simplePos x="0" y="0"/>
              <wp:positionH relativeFrom="column">
                <wp:posOffset>-3810</wp:posOffset>
              </wp:positionH>
              <wp:positionV relativeFrom="paragraph">
                <wp:posOffset>-206375</wp:posOffset>
              </wp:positionV>
              <wp:extent cx="6840220" cy="10079990"/>
              <wp:effectExtent l="9525" t="9525" r="27305" b="26035"/>
              <wp:wrapNone/>
              <wp:docPr id="2" name="矩形 2"/>
              <wp:cNvGraphicFramePr/>
              <a:graphic xmlns:a="http://schemas.openxmlformats.org/drawingml/2006/main">
                <a:graphicData uri="http://schemas.microsoft.com/office/word/2010/wordprocessingShape">
                  <wps:wsp>
                    <wps:cNvSpPr/>
                    <wps:spPr>
                      <a:xfrm>
                        <a:off x="619125" y="4152900"/>
                        <a:ext cx="6840220" cy="10079990"/>
                      </a:xfrm>
                      <a:prstGeom prst="rect">
                        <a:avLst/>
                      </a:prstGeom>
                      <a:gradFill>
                        <a:gsLst>
                          <a:gs pos="33000">
                            <a:schemeClr val="accent1">
                              <a:lumMod val="5000"/>
                              <a:lumOff val="95000"/>
                              <a:alpha val="92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6.25pt;height:793.7pt;width:538.6pt;z-index:251661312;v-text-anchor:middle;mso-width-relative:page;mso-height-relative:page;" fillcolor="#F6F8FC [180]" filled="t" stroked="t" coordsize="21600,21600" o:gfxdata="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">
              <v:fill type="gradient" on="t" color2="#C7D5ED [980]" opacity="60293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r>
      <w:drawing>
        <wp:anchor distT="0" distB="0" distL="114300" distR="114300" simplePos="0" relativeHeight="251660288" behindDoc="0" locked="0" layoutInCell="1" allowOverlap="1">
          <wp:simplePos x="0" y="0"/>
          <wp:positionH relativeFrom="column">
            <wp:posOffset>-532130</wp:posOffset>
          </wp:positionH>
          <wp:positionV relativeFrom="paragraph">
            <wp:posOffset>-537210</wp:posOffset>
          </wp:positionV>
          <wp:extent cx="7919720" cy="10727690"/>
          <wp:effectExtent l="0" t="0" r="5080" b="16510"/>
          <wp:wrapNone/>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BC955C">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515239">
    <w:pPr>
      <w:pStyle w:val="5"/>
      <w:pBdr>
        <w:bottom w:val="none" w:color="auto" w:sz="0" w:space="1"/>
      </w:pBdr>
    </w:pPr>
    <w:r>
      <w:drawing>
        <wp:anchor distT="0" distB="0" distL="114300" distR="114300" simplePos="0" relativeHeight="251664384" behindDoc="0" locked="0" layoutInCell="1" allowOverlap="1">
          <wp:simplePos x="0" y="0"/>
          <wp:positionH relativeFrom="column">
            <wp:posOffset>-720090</wp:posOffset>
          </wp:positionH>
          <wp:positionV relativeFrom="paragraph">
            <wp:posOffset>-576580</wp:posOffset>
          </wp:positionV>
          <wp:extent cx="7919720" cy="10727690"/>
          <wp:effectExtent l="0" t="0" r="5080" b="16510"/>
          <wp:wrapNone/>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D3F95E">
    <w:pPr>
      <w:pStyle w:val="5"/>
      <w:pBdr>
        <w:bottom w:val="none" w:color="auto" w:sz="0" w:space="1"/>
      </w:pBdr>
    </w:pPr>
    <w:r>
      <w:drawing>
        <wp:anchor distT="0" distB="0" distL="114300" distR="114300" simplePos="0" relativeHeight="251662336" behindDoc="0" locked="0" layoutInCell="1" allowOverlap="1">
          <wp:simplePos x="0" y="0"/>
          <wp:positionH relativeFrom="column">
            <wp:posOffset>-532130</wp:posOffset>
          </wp:positionH>
          <wp:positionV relativeFrom="paragraph">
            <wp:posOffset>-380365</wp:posOffset>
          </wp:positionV>
          <wp:extent cx="7919720" cy="10727690"/>
          <wp:effectExtent l="0" t="0" r="5080" b="16510"/>
          <wp:wrapNone/>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r>
      <w:rPr>
        <w:sz w:val="18"/>
      </w:rPr>
      <mc:AlternateContent>
        <mc:Choice Requires="wps">
          <w:drawing>
            <wp:anchor distT="0" distB="0" distL="114300" distR="114300" simplePos="0" relativeHeight="251663360" behindDoc="0" locked="0" layoutInCell="1" allowOverlap="1">
              <wp:simplePos x="0" y="0"/>
              <wp:positionH relativeFrom="column">
                <wp:posOffset>-114935</wp:posOffset>
              </wp:positionH>
              <wp:positionV relativeFrom="paragraph">
                <wp:posOffset>9525</wp:posOffset>
              </wp:positionV>
              <wp:extent cx="6840220" cy="9972040"/>
              <wp:effectExtent l="9525" t="9525" r="27305" b="19685"/>
              <wp:wrapNone/>
              <wp:docPr id="3" name="矩形 3"/>
              <wp:cNvGraphicFramePr/>
              <a:graphic xmlns:a="http://schemas.openxmlformats.org/drawingml/2006/main">
                <a:graphicData uri="http://schemas.microsoft.com/office/word/2010/wordprocessingShape">
                  <wps:wsp>
                    <wps:cNvSpPr/>
                    <wps:spPr>
                      <a:xfrm>
                        <a:off x="619125" y="4152900"/>
                        <a:ext cx="6840220" cy="9972040"/>
                      </a:xfrm>
                      <a:prstGeom prst="rect">
                        <a:avLst/>
                      </a:prstGeom>
                      <a:gradFill>
                        <a:gsLst>
                          <a:gs pos="34000">
                            <a:schemeClr val="accent1">
                              <a:lumMod val="5000"/>
                              <a:lumOff val="95000"/>
                              <a:alpha val="97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05pt;margin-top:0.75pt;height:785.2pt;width:538.6pt;z-index:251663360;v-text-anchor:middle;mso-width-relative:page;mso-height-relative:page;" fillcolor="#F6F8FC [180]" filled="t" stroked="t" coordsize="21600,21600" o:gfxdata="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">
              <v:fill type="gradient" on="t" color2="#C7D5ED [980]" opacity="63569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embedTrueTypeFonts/>
  <w:saveSubsetFonts/>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CF706D6"/>
    <w:rsid w:val="007779C9"/>
    <w:rsid w:val="00780094"/>
    <w:rsid w:val="00791BEA"/>
    <w:rsid w:val="0090561E"/>
    <w:rsid w:val="00F522C3"/>
    <w:rsid w:val="2A302909"/>
    <w:rsid w:val="2E113231"/>
    <w:rsid w:val="350C45DE"/>
    <w:rsid w:val="4CF706D6"/>
    <w:rsid w:val="643C12B2"/>
    <w:rsid w:val="67DDE0A4"/>
    <w:rsid w:val="78D53773"/>
    <w:rsid w:val="7BC57191"/>
    <w:rsid w:val="7DDFF39F"/>
    <w:rsid w:val="9BBCC2EE"/>
    <w:rsid w:val="AFA1817E"/>
    <w:rsid w:val="B47E1327"/>
    <w:rsid w:val="F7EA608B"/>
    <w:rsid w:val="FAFB6412"/>
    <w:rsid w:val="FFDA58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眉 字符"/>
    <w:basedOn w:val="8"/>
    <w:link w:val="5"/>
    <w:qFormat/>
    <w:uiPriority w:val="99"/>
    <w:rPr>
      <w:sz w:val="18"/>
      <w:szCs w:val="18"/>
    </w:rPr>
  </w:style>
  <w:style w:type="character" w:customStyle="1" w:styleId="10">
    <w:name w:val="页脚 字符"/>
    <w:basedOn w:val="8"/>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806947f8-03d1-4aff-8757-d63a49305888\&#34013;&#33394;&#20154;&#24037;&#26234;&#33021;&#20449;&#3244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蓝色人工智能信纸.docx</Template>
  <Pages>16</Pages>
  <Words>978</Words>
  <Characters>1093</Characters>
  <Lines>1</Lines>
  <Paragraphs>1</Paragraphs>
  <TotalTime>26</TotalTime>
  <ScaleCrop>false</ScaleCrop>
  <LinksUpToDate>false</LinksUpToDate>
  <CharactersWithSpaces>1109</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2025-01-23T01:26:00Z</dcterms:created>
  <dc:creator>六月</dc:creator>
  <cp:lastModifiedBy>无谓</cp:lastModifiedBy>
  <dcterms:modified xsi:type="dcterms:W3CDTF">2025-03-01T23:06:04Z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KSOTemplateUUID">
    <vt:lpwstr>v1.0_mb_PHhx4arW/6OburSZYWsygA==</vt:lpwstr>
  </property>
  <property fmtid="{D5CDD505-2E9C-101B-9397-08002B2CF9AE}" pid="4" name="ICV">
    <vt:lpwstr>A02637169DF5BC40AB488E67CDE6778F_43</vt:lpwstr>
  </property>
  <property fmtid="{D5CDD505-2E9C-101B-9397-08002B2CF9AE}" pid="5" name="KSOTemplateDocerSaveRecord">
    <vt:lpwstr>eyJoZGlkIjoiMjdiOGFmNjc3MGYyYTYwMTkwOGZhMmVlYTBhOTY4ZTgiLCJ1c2VySWQiOiI0NTM0Njg2NzMifQ==</vt:lpwstr>
  </property>
</Properties>
</file>