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v:background id="_x0000_s1025">
      <v:fill type="frame" on="t" color2="#FFFFFF" o:title="Abstract white background" focussize="0,0" recolor="t" r:id="rId11"/>
    </v:background>
  </w:background>
  <w:body>
    <w:p w14:paraId="6B8FD70B">
      <w:pPr>
        <w:sectPr>
          <w:headerReference r:id="rId4" w:type="first"/>
          <w:footerReference r:id="rId5" w:type="first"/>
          <w:headerReference r:id="rId3" w:type="default"/>
          <w:pgSz w:w="11906" w:h="16838"/>
          <w:pgMar w:top="720" w:right="720" w:bottom="720" w:left="720" w:header="851" w:footer="850" w:gutter="0"/>
          <w:cols w:space="425" w:num="1"/>
          <w:titlePg/>
          <w:docGrid w:type="lines" w:linePitch="312" w:charSpace="0"/>
        </w:sectPr>
      </w:pPr>
      <w:r>
        <w:rPr>
          <w:sz w:val="21"/>
        </w:rPr>
        <mc:AlternateContent>
          <mc:Choice Requires="wps">
            <w:drawing>
              <wp:anchor distT="0" distB="0" distL="114300" distR="114300" simplePos="0" relativeHeight="251661312" behindDoc="0" locked="0" layoutInCell="1" allowOverlap="1">
                <wp:simplePos x="0" y="0"/>
                <wp:positionH relativeFrom="column">
                  <wp:posOffset>2186305</wp:posOffset>
                </wp:positionH>
                <wp:positionV relativeFrom="paragraph">
                  <wp:posOffset>5650865</wp:posOffset>
                </wp:positionV>
                <wp:extent cx="2258060" cy="7239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2258060" cy="7239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8490D4">
                            <w:pPr>
                              <w:jc w:val="right"/>
                              <w:rPr>
                                <w:rFonts w:hint="default" w:ascii="微软简老宋" w:hAnsi="微软简老宋" w:eastAsia="微软简老宋" w:cs="微软简老宋"/>
                                <w:color w:val="595959" w:themeColor="text1" w:themeTint="A6"/>
                                <w:sz w:val="48"/>
                                <w:szCs w:val="48"/>
                                <w:lang w:val="en-US" w:eastAsia="zh-CN"/>
                                <w14:textFill>
                                  <w14:solidFill>
                                    <w14:schemeClr w14:val="tx1">
                                      <w14:lumMod w14:val="65000"/>
                                      <w14:lumOff w14:val="35000"/>
                                    </w14:schemeClr>
                                  </w14:solidFill>
                                </w14:textFill>
                              </w:rPr>
                            </w:pPr>
                            <w:r>
                              <w:rPr>
                                <w:rFonts w:hint="eastAsia" w:ascii="微软简老宋" w:hAnsi="微软简老宋" w:eastAsia="微软简老宋" w:cs="微软简老宋"/>
                                <w:color w:val="595959" w:themeColor="text1" w:themeTint="A6"/>
                                <w:sz w:val="48"/>
                                <w:szCs w:val="48"/>
                                <w:lang w:val="en-US" w:eastAsia="zh-CN"/>
                                <w14:textFill>
                                  <w14:solidFill>
                                    <w14:schemeClr w14:val="tx1">
                                      <w14:lumMod w14:val="65000"/>
                                      <w14:lumOff w14:val="35000"/>
                                    </w14:schemeClr>
                                  </w14:solidFill>
                                </w14:textFill>
                              </w:rPr>
                              <w:t>电子教案</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72.15pt;margin-top:444.95pt;height:57pt;width:177.8pt;z-index:251661312;v-text-anchor:middle;mso-width-relative:page;mso-height-relative:page;" filled="f" stroked="f" coordsize="21600,21600" o:gfxdata="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RNYtsAAAAMAQAADwAAAAAAAAABACAAAAAiAAAA&#10;ZHJzL2Rvd25yZXYueG1sUEsBAhQAFAAAAAgAh07iQF2agWQ9AgAAaAQAAA4AAAAAAAAAAQAgAAAA&#10;KgEAAGRycy9lMm9Eb2MueG1sUEsFBgAAAAAGAAYAWQEAANkFAAAAAA==&#10;">
                <v:fill on="f" focussize="0,0"/>
                <v:stroke on="f" weight="0.5pt"/>
                <v:imagedata o:title=""/>
                <o:lock v:ext="edit" aspectratio="f"/>
                <v:textbox>
                  <w:txbxContent>
                    <w:p w14:paraId="278490D4">
                      <w:pPr>
                        <w:jc w:val="right"/>
                        <w:rPr>
                          <w:rFonts w:hint="default" w:ascii="微软简老宋" w:hAnsi="微软简老宋" w:eastAsia="微软简老宋" w:cs="微软简老宋"/>
                          <w:color w:val="595959" w:themeColor="text1" w:themeTint="A6"/>
                          <w:sz w:val="48"/>
                          <w:szCs w:val="48"/>
                          <w:lang w:val="en-US" w:eastAsia="zh-CN"/>
                          <w14:textFill>
                            <w14:solidFill>
                              <w14:schemeClr w14:val="tx1">
                                <w14:lumMod w14:val="65000"/>
                                <w14:lumOff w14:val="35000"/>
                              </w14:schemeClr>
                            </w14:solidFill>
                          </w14:textFill>
                        </w:rPr>
                      </w:pPr>
                      <w:r>
                        <w:rPr>
                          <w:rFonts w:hint="eastAsia" w:ascii="微软简老宋" w:hAnsi="微软简老宋" w:eastAsia="微软简老宋" w:cs="微软简老宋"/>
                          <w:color w:val="595959" w:themeColor="text1" w:themeTint="A6"/>
                          <w:sz w:val="48"/>
                          <w:szCs w:val="48"/>
                          <w:lang w:val="en-US" w:eastAsia="zh-CN"/>
                          <w14:textFill>
                            <w14:solidFill>
                              <w14:schemeClr w14:val="tx1">
                                <w14:lumMod w14:val="65000"/>
                                <w14:lumOff w14:val="35000"/>
                              </w14:schemeClr>
                            </w14:solidFill>
                          </w14:textFill>
                        </w:rPr>
                        <w:t>电子教案</w:t>
                      </w:r>
                    </w:p>
                  </w:txbxContent>
                </v:textbox>
              </v:shape>
            </w:pict>
          </mc:Fallback>
        </mc:AlternateContent>
      </w:r>
      <w:r>
        <w:rPr>
          <w:sz w:val="21"/>
        </w:rPr>
        <mc:AlternateContent>
          <mc:Choice Requires="wps">
            <w:drawing>
              <wp:anchor distT="0" distB="0" distL="114300" distR="114300" simplePos="0" relativeHeight="251660288" behindDoc="0" locked="0" layoutInCell="1" allowOverlap="1">
                <wp:simplePos x="0" y="0"/>
                <wp:positionH relativeFrom="column">
                  <wp:posOffset>2277110</wp:posOffset>
                </wp:positionH>
                <wp:positionV relativeFrom="paragraph">
                  <wp:posOffset>8003540</wp:posOffset>
                </wp:positionV>
                <wp:extent cx="2076450" cy="438150"/>
                <wp:effectExtent l="0" t="0" r="0" b="0"/>
                <wp:wrapNone/>
                <wp:docPr id="7" name="文本框 7"/>
                <wp:cNvGraphicFramePr/>
                <a:graphic xmlns:a="http://schemas.openxmlformats.org/drawingml/2006/main">
                  <a:graphicData uri="http://schemas.microsoft.com/office/word/2010/wordprocessingShape">
                    <wps:wsp>
                      <wps:cNvSpPr txBox="1"/>
                      <wps:spPr>
                        <a:xfrm>
                          <a:off x="2747010" y="8328025"/>
                          <a:ext cx="2076450" cy="4381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F6DC9DE">
                            <w:pPr>
                              <w:jc w:val="center"/>
                              <w:rPr>
                                <w:rFonts w:hint="eastAsia" w:ascii="微软简老宋" w:hAnsi="微软简老宋" w:eastAsia="微软简老宋" w:cs="微软简老宋"/>
                                <w:color w:val="595959" w:themeColor="text1" w:themeTint="A6"/>
                                <w:sz w:val="28"/>
                                <w:szCs w:val="28"/>
                                <w:lang w:val="en-US" w:eastAsia="zh-CN"/>
                                <w14:textFill>
                                  <w14:solidFill>
                                    <w14:schemeClr w14:val="tx1">
                                      <w14:lumMod w14:val="65000"/>
                                      <w14:lumOff w14:val="35000"/>
                                    </w14:schemeClr>
                                  </w14:solidFill>
                                </w14:textFill>
                              </w:rPr>
                            </w:pPr>
                            <w:r>
                              <w:rPr>
                                <w:rFonts w:hint="eastAsia" w:ascii="微软简老宋" w:hAnsi="微软简老宋" w:eastAsia="微软简老宋" w:cs="微软简老宋"/>
                                <w:color w:val="595959" w:themeColor="text1" w:themeTint="A6"/>
                                <w:sz w:val="28"/>
                                <w:szCs w:val="28"/>
                                <w:lang w:val="en-US" w:eastAsia="zh-CN"/>
                                <w14:textFill>
                                  <w14:solidFill>
                                    <w14:schemeClr w14:val="tx1">
                                      <w14:lumMod w14:val="65000"/>
                                      <w14:lumOff w14:val="35000"/>
                                    </w14:schemeClr>
                                  </w14:solidFill>
                                </w14:textFill>
                              </w:rPr>
                              <w:t>北京出版社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79.3pt;margin-top:630.2pt;height:34.5pt;width:163.5pt;z-index:251660288;v-text-anchor:middle;mso-width-relative:page;mso-height-relative:page;" fillcolor="#FFFFFF [3201]" filled="t" stroked="f" coordsize="21600,21600" o:gfxdata="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V6gP8&#10;2AAAAA0BAAAPAAAAAAAAAAEAIAAAACIAAABkcnMvZG93bnJldi54bWxQSwECFAAUAAAACACHTuJA&#10;BMkuIFoCAACdBAAADgAAAAAAAAABACAAAAAnAQAAZHJzL2Uyb0RvYy54bWxQSwUGAAAAAAYABgBZ&#10;AQAA8wUAAAAA&#10;">
                <v:fill on="t" focussize="0,0"/>
                <v:stroke on="f" weight="0.5pt"/>
                <v:imagedata o:title=""/>
                <o:lock v:ext="edit" aspectratio="f"/>
                <v:textbox>
                  <w:txbxContent>
                    <w:p w14:paraId="6F6DC9DE">
                      <w:pPr>
                        <w:jc w:val="center"/>
                        <w:rPr>
                          <w:rFonts w:hint="eastAsia" w:ascii="微软简老宋" w:hAnsi="微软简老宋" w:eastAsia="微软简老宋" w:cs="微软简老宋"/>
                          <w:color w:val="595959" w:themeColor="text1" w:themeTint="A6"/>
                          <w:sz w:val="28"/>
                          <w:szCs w:val="28"/>
                          <w:lang w:val="en-US" w:eastAsia="zh-CN"/>
                          <w14:textFill>
                            <w14:solidFill>
                              <w14:schemeClr w14:val="tx1">
                                <w14:lumMod w14:val="65000"/>
                                <w14:lumOff w14:val="35000"/>
                              </w14:schemeClr>
                            </w14:solidFill>
                          </w14:textFill>
                        </w:rPr>
                      </w:pPr>
                      <w:r>
                        <w:rPr>
                          <w:rFonts w:hint="eastAsia" w:ascii="微软简老宋" w:hAnsi="微软简老宋" w:eastAsia="微软简老宋" w:cs="微软简老宋"/>
                          <w:color w:val="595959" w:themeColor="text1" w:themeTint="A6"/>
                          <w:sz w:val="28"/>
                          <w:szCs w:val="28"/>
                          <w:lang w:val="en-US" w:eastAsia="zh-CN"/>
                          <w14:textFill>
                            <w14:solidFill>
                              <w14:schemeClr w14:val="tx1">
                                <w14:lumMod w14:val="65000"/>
                                <w14:lumOff w14:val="35000"/>
                              </w14:schemeClr>
                            </w14:solidFill>
                          </w14:textFill>
                        </w:rPr>
                        <w:t>北京出版社</w:t>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-15240</wp:posOffset>
                </wp:positionH>
                <wp:positionV relativeFrom="paragraph">
                  <wp:posOffset>3299460</wp:posOffset>
                </wp:positionV>
                <wp:extent cx="6659880" cy="899795"/>
                <wp:effectExtent l="0" t="0" r="7620" b="14605"/>
                <wp:wrapNone/>
                <wp:docPr id="9" name="矩形 9"/>
                <wp:cNvGraphicFramePr/>
                <a:graphic xmlns:a="http://schemas.openxmlformats.org/drawingml/2006/main">
                  <a:graphicData uri="http://schemas.microsoft.com/office/word/2010/wordprocessingShape">
                    <wps:wsp>
                      <wps:cNvSpPr/>
                      <wps:spPr>
                        <a:xfrm>
                          <a:off x="0" y="0"/>
                          <a:ext cx="6659880" cy="899795"/>
                        </a:xfrm>
                        <a:prstGeom prst="rect">
                          <a:avLst/>
                        </a:prstGeom>
                        <a:solidFill>
                          <a:srgbClr val="FDC1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pt;margin-top:259.8pt;height:70.85pt;width:524.4pt;z-index:251659264;v-text-anchor:middle;mso-width-relative:page;mso-height-relative:page;" fillcolor="#FDC100" filled="t" stroked="f" coordsize="21600,21600" o:gfxdata="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FlBJ23YAAAACwEAAA8AAAAAAAAAAQAgAAAAIgAA&#10;AGRycy9kb3ducmV2LnhtbFBLAQIUABQAAAAIAIdO4kCC7LnhegIAAOwEAAAOAAAAAAAAAAEAIAAA&#10;ACcBAABkcnMvZTJvRG9jLnhtbFBLBQYAAAAABgAGAFkBAAATBgAAAAA=&#10;">
                <v:fill on="t" opacity="13107f" focussize="0,0"/>
                <v:stroke on="f" weight="1pt" miterlimit="8" joinstyle="miter"/>
                <v:imagedata o:title=""/>
                <o:lock v:ext="edit" aspectratio="f"/>
              </v:rect>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434975</wp:posOffset>
                </wp:positionH>
                <wp:positionV relativeFrom="paragraph">
                  <wp:posOffset>3299460</wp:posOffset>
                </wp:positionV>
                <wp:extent cx="5760085" cy="899795"/>
                <wp:effectExtent l="0" t="0" r="0" b="0"/>
                <wp:wrapNone/>
                <wp:docPr id="6" name="文本框 6"/>
                <wp:cNvGraphicFramePr/>
                <a:graphic xmlns:a="http://schemas.openxmlformats.org/drawingml/2006/main">
                  <a:graphicData uri="http://schemas.microsoft.com/office/word/2010/wordprocessingShape">
                    <wps:wsp>
                      <wps:cNvSpPr txBox="1"/>
                      <wps:spPr>
                        <a:xfrm>
                          <a:off x="0" y="0"/>
                          <a:ext cx="5760085" cy="8997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DB3A94">
                            <w:pPr>
                              <w:rPr>
                                <w:rFonts w:hint="eastAsia"/>
                                <w:b/>
                                <w:bCs w:val="0"/>
                                <w:sz w:val="96"/>
                                <w:szCs w:val="96"/>
                                <w:lang w:val="en-US" w:eastAsia="zh-CN"/>
                              </w:rPr>
                            </w:pPr>
                            <w:r>
                              <w:rPr>
                                <w:rFonts w:hint="eastAsia"/>
                                <w:b/>
                                <w:bCs w:val="0"/>
                                <w:sz w:val="96"/>
                                <w:szCs w:val="96"/>
                                <w:lang w:val="en-US" w:eastAsia="zh-CN"/>
                              </w:rPr>
                              <w:t>大学生心理健康教育</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25pt;margin-top:259.8pt;height:70.85pt;width:453.55pt;z-index:251659264;mso-width-relative:page;mso-height-relative:page;" filled="f" stroked="f" coordsize="21600,21600" o:gfxdata="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&#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BsabbAAAACgEAAA8AAAAAAAAAAQAgAAAAIgAAAGRy&#10;cy9kb3ducmV2LnhtbFBLAQIUABQAAAAIAIdO4kCt3xwZOwIAAGYEAAAOAAAAAAAAAAEAIAAAACoB&#10;AABkcnMvZTJvRG9jLnhtbFBLBQYAAAAABgAGAFkBAADXBQAAAAA=&#10;">
                <v:fill on="f" focussize="0,0"/>
                <v:stroke on="f" weight="0.5pt"/>
                <v:imagedata o:title=""/>
                <o:lock v:ext="edit" aspectratio="f"/>
                <v:textbox>
                  <w:txbxContent>
                    <w:p w14:paraId="1DDB3A94">
                      <w:pPr>
                        <w:rPr>
                          <w:rFonts w:hint="eastAsia"/>
                          <w:b/>
                          <w:bCs w:val="0"/>
                          <w:sz w:val="96"/>
                          <w:szCs w:val="96"/>
                          <w:lang w:val="en-US" w:eastAsia="zh-CN"/>
                        </w:rPr>
                      </w:pPr>
                      <w:r>
                        <w:rPr>
                          <w:rFonts w:hint="eastAsia"/>
                          <w:b/>
                          <w:bCs w:val="0"/>
                          <w:sz w:val="96"/>
                          <w:szCs w:val="96"/>
                          <w:lang w:val="en-US" w:eastAsia="zh-CN"/>
                        </w:rPr>
                        <w:t>大学生心理健康教育</w:t>
                      </w:r>
                    </w:p>
                  </w:txbxContent>
                </v:textbox>
              </v:shape>
            </w:pict>
          </mc:Fallback>
        </mc:AlternateContent>
      </w:r>
    </w:p>
    <w:p w14:paraId="341C0E38">
      <w:pPr>
        <w:keepNext/>
        <w:keepLines/>
        <w:spacing w:before="240" w:after="240" w:line="720" w:lineRule="auto"/>
        <w:jc w:val="center"/>
        <w:outlineLvl w:val="0"/>
        <w:rPr>
          <w:rFonts w:ascii="黑体" w:hAnsi="黑体" w:eastAsia="黑体"/>
          <w:b/>
          <w:bCs/>
          <w:kern w:val="44"/>
          <w:sz w:val="36"/>
          <w:szCs w:val="36"/>
        </w:rPr>
      </w:pPr>
      <w:r>
        <w:rPr>
          <w:rFonts w:ascii="黑体" w:hAnsi="黑体" w:eastAsia="黑体"/>
          <w:b/>
          <w:bCs/>
          <w:kern w:val="44"/>
          <w:sz w:val="36"/>
          <w:szCs w:val="36"/>
        </w:rPr>
        <w:t>课时安排</w:t>
      </w:r>
    </w:p>
    <w:tbl>
      <w:tblPr>
        <w:tblStyle w:val="6"/>
        <w:tblW w:w="10205" w:type="dxa"/>
        <w:jc w:val="center"/>
        <w:tblBorders>
          <w:top w:val="double" w:color="3A5E20" w:themeColor="accent4" w:themeShade="7F" w:sz="4" w:space="0"/>
          <w:left w:val="double" w:color="3A5E20" w:themeColor="accent4" w:themeShade="7F" w:sz="4" w:space="0"/>
          <w:bottom w:val="double" w:color="3A5E20" w:themeColor="accent4" w:themeShade="7F" w:sz="4" w:space="0"/>
          <w:right w:val="double" w:color="3A5E20" w:themeColor="accent4" w:themeShade="7F" w:sz="4" w:space="0"/>
          <w:insideH w:val="single" w:color="3A5E20" w:themeColor="accent4" w:themeShade="7F" w:sz="4" w:space="0"/>
          <w:insideV w:val="single" w:color="3A5E20" w:themeColor="accent4" w:themeShade="7F" w:sz="4" w:space="0"/>
        </w:tblBorders>
        <w:tblLayout w:type="autofit"/>
        <w:tblCellMar>
          <w:top w:w="0" w:type="dxa"/>
          <w:left w:w="108" w:type="dxa"/>
          <w:bottom w:w="0" w:type="dxa"/>
          <w:right w:w="108" w:type="dxa"/>
        </w:tblCellMar>
      </w:tblPr>
      <w:tblGrid>
        <w:gridCol w:w="1183"/>
        <w:gridCol w:w="5120"/>
        <w:gridCol w:w="2150"/>
        <w:gridCol w:w="1752"/>
      </w:tblGrid>
      <w:tr w14:paraId="57457DD3">
        <w:trPr>
          <w:cantSplit/>
          <w:trHeight w:val="850" w:hRule="atLeast"/>
          <w:jc w:val="center"/>
        </w:trPr>
        <w:tc>
          <w:tcPr>
            <w:tcW w:w="954" w:type="dxa"/>
            <w:tcBorders>
              <w:tl2br w:val="nil"/>
              <w:tr2bl w:val="nil"/>
            </w:tcBorders>
            <w:shd w:val="clear" w:color="auto" w:fill="C7E4B3" w:themeFill="accent4" w:themeFillTint="66"/>
            <w:vAlign w:val="center"/>
          </w:tcPr>
          <w:p w14:paraId="1FED9E2C">
            <w:pPr>
              <w:spacing w:line="360" w:lineRule="auto"/>
              <w:ind w:leftChars="-8" w:hanging="17" w:hangingChars="7"/>
              <w:jc w:val="center"/>
              <w:rPr>
                <w:rFonts w:hint="eastAsia" w:ascii="黑体" w:hAnsi="黑体" w:eastAsia="黑体" w:cs="黑体"/>
                <w:b/>
                <w:bCs/>
                <w:color w:val="843F0B" w:themeColor="accent2" w:themeShade="80"/>
                <w:sz w:val="24"/>
                <w:szCs w:val="24"/>
              </w:rPr>
            </w:pPr>
            <w:r>
              <w:rPr>
                <w:rFonts w:hint="eastAsia" w:ascii="黑体" w:hAnsi="黑体" w:eastAsia="黑体" w:cs="黑体"/>
                <w:b/>
                <w:bCs/>
                <w:color w:val="843F0B" w:themeColor="accent2" w:themeShade="80"/>
                <w:sz w:val="24"/>
                <w:szCs w:val="24"/>
              </w:rPr>
              <w:t>章节</w:t>
            </w:r>
          </w:p>
        </w:tc>
        <w:tc>
          <w:tcPr>
            <w:tcW w:w="4128" w:type="dxa"/>
            <w:tcBorders>
              <w:tl2br w:val="nil"/>
              <w:tr2bl w:val="nil"/>
            </w:tcBorders>
            <w:shd w:val="clear" w:color="auto" w:fill="C7E4B3" w:themeFill="accent4" w:themeFillTint="66"/>
            <w:vAlign w:val="center"/>
          </w:tcPr>
          <w:p w14:paraId="39F7AED3">
            <w:pPr>
              <w:spacing w:line="360" w:lineRule="auto"/>
              <w:ind w:firstLine="26"/>
              <w:jc w:val="center"/>
              <w:rPr>
                <w:rFonts w:hint="eastAsia" w:ascii="黑体" w:hAnsi="黑体" w:eastAsia="黑体" w:cs="黑体"/>
                <w:b/>
                <w:bCs/>
                <w:color w:val="843F0B" w:themeColor="accent2" w:themeShade="80"/>
                <w:sz w:val="24"/>
                <w:szCs w:val="24"/>
              </w:rPr>
            </w:pPr>
            <w:r>
              <w:rPr>
                <w:rFonts w:hint="eastAsia" w:ascii="黑体" w:hAnsi="黑体" w:eastAsia="黑体" w:cs="黑体"/>
                <w:b/>
                <w:bCs/>
                <w:color w:val="843F0B" w:themeColor="accent2" w:themeShade="80"/>
                <w:sz w:val="24"/>
                <w:szCs w:val="24"/>
              </w:rPr>
              <w:t>课程内容</w:t>
            </w:r>
          </w:p>
        </w:tc>
        <w:tc>
          <w:tcPr>
            <w:tcW w:w="1733" w:type="dxa"/>
            <w:tcBorders>
              <w:tl2br w:val="nil"/>
              <w:tr2bl w:val="nil"/>
            </w:tcBorders>
            <w:shd w:val="clear" w:color="auto" w:fill="C7E4B3" w:themeFill="accent4" w:themeFillTint="66"/>
            <w:vAlign w:val="center"/>
          </w:tcPr>
          <w:p w14:paraId="4B8B02E2">
            <w:pPr>
              <w:spacing w:line="360" w:lineRule="auto"/>
              <w:jc w:val="center"/>
              <w:rPr>
                <w:rFonts w:hint="eastAsia" w:ascii="黑体" w:hAnsi="黑体" w:eastAsia="黑体" w:cs="黑体"/>
                <w:b/>
                <w:bCs/>
                <w:color w:val="843F0B" w:themeColor="accent2" w:themeShade="80"/>
                <w:sz w:val="24"/>
                <w:szCs w:val="24"/>
              </w:rPr>
            </w:pPr>
            <w:r>
              <w:rPr>
                <w:rFonts w:hint="eastAsia" w:ascii="黑体" w:hAnsi="黑体" w:eastAsia="黑体" w:cs="黑体"/>
                <w:b/>
                <w:bCs/>
                <w:color w:val="843F0B" w:themeColor="accent2" w:themeShade="80"/>
                <w:sz w:val="24"/>
                <w:szCs w:val="24"/>
              </w:rPr>
              <w:t>课 时</w:t>
            </w:r>
          </w:p>
        </w:tc>
        <w:tc>
          <w:tcPr>
            <w:tcW w:w="1412" w:type="dxa"/>
            <w:tcBorders>
              <w:tl2br w:val="nil"/>
              <w:tr2bl w:val="nil"/>
            </w:tcBorders>
            <w:shd w:val="clear" w:color="auto" w:fill="C7E4B3" w:themeFill="accent4" w:themeFillTint="66"/>
            <w:vAlign w:val="center"/>
          </w:tcPr>
          <w:p w14:paraId="7705041B">
            <w:pPr>
              <w:spacing w:line="360" w:lineRule="auto"/>
              <w:jc w:val="center"/>
              <w:rPr>
                <w:rFonts w:hint="eastAsia" w:ascii="黑体" w:hAnsi="黑体" w:eastAsia="黑体" w:cs="黑体"/>
                <w:b/>
                <w:bCs/>
                <w:color w:val="843F0B" w:themeColor="accent2" w:themeShade="80"/>
                <w:sz w:val="24"/>
                <w:szCs w:val="24"/>
              </w:rPr>
            </w:pPr>
            <w:r>
              <w:rPr>
                <w:rFonts w:hint="eastAsia" w:ascii="黑体" w:hAnsi="黑体" w:eastAsia="黑体" w:cs="黑体"/>
                <w:b/>
                <w:bCs/>
                <w:color w:val="843F0B" w:themeColor="accent2" w:themeShade="80"/>
                <w:sz w:val="24"/>
                <w:szCs w:val="24"/>
              </w:rPr>
              <w:t>备 注</w:t>
            </w:r>
          </w:p>
        </w:tc>
      </w:tr>
      <w:tr w14:paraId="43FBEF2F">
        <w:trPr>
          <w:trHeight w:val="850" w:hRule="atLeast"/>
          <w:jc w:val="center"/>
        </w:trPr>
        <w:tc>
          <w:tcPr>
            <w:tcW w:w="954" w:type="dxa"/>
            <w:tcBorders>
              <w:tl2br w:val="nil"/>
              <w:tr2bl w:val="nil"/>
            </w:tcBorders>
            <w:shd w:val="clear" w:color="auto" w:fill="auto"/>
            <w:vAlign w:val="center"/>
          </w:tcPr>
          <w:p w14:paraId="6649F037">
            <w:pPr>
              <w:spacing w:line="360" w:lineRule="auto"/>
              <w:jc w:val="center"/>
              <w:rPr>
                <w:rFonts w:hint="eastAsia" w:ascii="宋体" w:hAnsi="宋体" w:eastAsia="宋体" w:cs="宋体"/>
                <w:sz w:val="24"/>
                <w:szCs w:val="24"/>
              </w:rPr>
            </w:pPr>
            <w:r>
              <w:rPr>
                <w:rFonts w:hint="eastAsia" w:ascii="宋体" w:hAnsi="宋体" w:eastAsia="宋体" w:cs="宋体"/>
                <w:sz w:val="24"/>
                <w:szCs w:val="24"/>
              </w:rPr>
              <w:t>1</w:t>
            </w:r>
          </w:p>
        </w:tc>
        <w:tc>
          <w:tcPr>
            <w:tcW w:w="4128" w:type="dxa"/>
            <w:tcBorders>
              <w:tl2br w:val="nil"/>
              <w:tr2bl w:val="nil"/>
            </w:tcBorders>
            <w:shd w:val="clear" w:color="auto" w:fill="auto"/>
            <w:vAlign w:val="center"/>
          </w:tcPr>
          <w:p w14:paraId="3B9784A1">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大学生心理健康导论</w:t>
            </w:r>
          </w:p>
        </w:tc>
        <w:tc>
          <w:tcPr>
            <w:tcW w:w="1733" w:type="dxa"/>
            <w:tcBorders>
              <w:tl2br w:val="nil"/>
              <w:tr2bl w:val="nil"/>
            </w:tcBorders>
            <w:shd w:val="clear" w:color="auto" w:fill="auto"/>
            <w:vAlign w:val="center"/>
          </w:tcPr>
          <w:p w14:paraId="0B37F85D">
            <w:pPr>
              <w:spacing w:line="360" w:lineRule="auto"/>
              <w:jc w:val="center"/>
              <w:rPr>
                <w:rFonts w:hint="eastAsia" w:ascii="宋体" w:hAnsi="宋体" w:eastAsia="宋体" w:cs="宋体"/>
                <w:b/>
                <w:sz w:val="24"/>
                <w:szCs w:val="24"/>
                <w:lang w:eastAsia="zh-CN"/>
              </w:rPr>
            </w:pPr>
            <w:r>
              <w:rPr>
                <w:rFonts w:hint="eastAsia" w:ascii="宋体" w:hAnsi="宋体" w:cs="宋体"/>
                <w:b/>
                <w:sz w:val="24"/>
                <w:szCs w:val="24"/>
                <w:lang w:val="en-US" w:eastAsia="zh-CN"/>
              </w:rPr>
              <w:t>2</w:t>
            </w:r>
          </w:p>
        </w:tc>
        <w:tc>
          <w:tcPr>
            <w:tcW w:w="1412" w:type="dxa"/>
            <w:tcBorders>
              <w:tl2br w:val="nil"/>
              <w:tr2bl w:val="nil"/>
            </w:tcBorders>
            <w:shd w:val="clear" w:color="auto" w:fill="auto"/>
            <w:vAlign w:val="center"/>
          </w:tcPr>
          <w:p w14:paraId="75D739D1">
            <w:pPr>
              <w:spacing w:line="360" w:lineRule="auto"/>
              <w:ind w:firstLine="425"/>
              <w:jc w:val="center"/>
              <w:rPr>
                <w:rFonts w:hint="eastAsia" w:ascii="宋体" w:hAnsi="宋体" w:eastAsia="宋体" w:cs="宋体"/>
                <w:sz w:val="24"/>
                <w:szCs w:val="24"/>
              </w:rPr>
            </w:pPr>
          </w:p>
        </w:tc>
      </w:tr>
      <w:tr w14:paraId="19382045">
        <w:trPr>
          <w:trHeight w:val="850" w:hRule="atLeast"/>
          <w:jc w:val="center"/>
        </w:trPr>
        <w:tc>
          <w:tcPr>
            <w:tcW w:w="954" w:type="dxa"/>
            <w:tcBorders>
              <w:tl2br w:val="nil"/>
              <w:tr2bl w:val="nil"/>
            </w:tcBorders>
            <w:shd w:val="clear" w:color="auto" w:fill="auto"/>
            <w:vAlign w:val="center"/>
          </w:tcPr>
          <w:p w14:paraId="5E9D9E44">
            <w:pPr>
              <w:spacing w:line="360" w:lineRule="auto"/>
              <w:jc w:val="center"/>
              <w:rPr>
                <w:rFonts w:hint="eastAsia" w:ascii="宋体" w:hAnsi="宋体" w:eastAsia="宋体" w:cs="宋体"/>
                <w:sz w:val="24"/>
                <w:szCs w:val="24"/>
              </w:rPr>
            </w:pPr>
            <w:r>
              <w:rPr>
                <w:rFonts w:hint="eastAsia" w:ascii="宋体" w:hAnsi="宋体" w:eastAsia="宋体" w:cs="宋体"/>
                <w:sz w:val="24"/>
                <w:szCs w:val="24"/>
              </w:rPr>
              <w:t>2</w:t>
            </w:r>
          </w:p>
        </w:tc>
        <w:tc>
          <w:tcPr>
            <w:tcW w:w="4128" w:type="dxa"/>
            <w:tcBorders>
              <w:tl2br w:val="nil"/>
              <w:tr2bl w:val="nil"/>
            </w:tcBorders>
            <w:shd w:val="clear" w:color="auto" w:fill="auto"/>
            <w:vAlign w:val="center"/>
          </w:tcPr>
          <w:p w14:paraId="309051CB">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大学生心理咨询与心理治疗</w:t>
            </w:r>
          </w:p>
        </w:tc>
        <w:tc>
          <w:tcPr>
            <w:tcW w:w="1733" w:type="dxa"/>
            <w:tcBorders>
              <w:tl2br w:val="nil"/>
              <w:tr2bl w:val="nil"/>
            </w:tcBorders>
            <w:shd w:val="clear" w:color="auto" w:fill="auto"/>
            <w:vAlign w:val="center"/>
          </w:tcPr>
          <w:p w14:paraId="4BFC92C3">
            <w:pPr>
              <w:spacing w:line="360" w:lineRule="auto"/>
              <w:jc w:val="center"/>
              <w:rPr>
                <w:rFonts w:hint="eastAsia" w:ascii="宋体" w:hAnsi="宋体" w:eastAsia="宋体" w:cs="宋体"/>
                <w:b/>
                <w:sz w:val="24"/>
                <w:szCs w:val="24"/>
                <w:lang w:eastAsia="zh-CN"/>
              </w:rPr>
            </w:pPr>
            <w:r>
              <w:rPr>
                <w:rFonts w:hint="eastAsia" w:ascii="宋体" w:hAnsi="宋体" w:cs="宋体"/>
                <w:b/>
                <w:sz w:val="24"/>
                <w:szCs w:val="24"/>
                <w:lang w:val="en-US" w:eastAsia="zh-CN"/>
              </w:rPr>
              <w:t>3</w:t>
            </w:r>
          </w:p>
        </w:tc>
        <w:tc>
          <w:tcPr>
            <w:tcW w:w="1412" w:type="dxa"/>
            <w:tcBorders>
              <w:tl2br w:val="nil"/>
              <w:tr2bl w:val="nil"/>
            </w:tcBorders>
            <w:shd w:val="clear" w:color="auto" w:fill="auto"/>
            <w:vAlign w:val="center"/>
          </w:tcPr>
          <w:p w14:paraId="6C46B2E9">
            <w:pPr>
              <w:spacing w:line="360" w:lineRule="auto"/>
              <w:ind w:firstLine="425"/>
              <w:jc w:val="center"/>
              <w:rPr>
                <w:rFonts w:hint="eastAsia" w:ascii="宋体" w:hAnsi="宋体" w:eastAsia="宋体" w:cs="宋体"/>
                <w:sz w:val="24"/>
                <w:szCs w:val="24"/>
              </w:rPr>
            </w:pPr>
          </w:p>
        </w:tc>
      </w:tr>
      <w:tr w14:paraId="36067FB2">
        <w:trPr>
          <w:trHeight w:val="850" w:hRule="atLeast"/>
          <w:jc w:val="center"/>
        </w:trPr>
        <w:tc>
          <w:tcPr>
            <w:tcW w:w="954" w:type="dxa"/>
            <w:tcBorders>
              <w:tl2br w:val="nil"/>
              <w:tr2bl w:val="nil"/>
            </w:tcBorders>
            <w:shd w:val="clear" w:color="auto" w:fill="auto"/>
            <w:vAlign w:val="center"/>
          </w:tcPr>
          <w:p w14:paraId="35B311B3">
            <w:pPr>
              <w:spacing w:line="360" w:lineRule="auto"/>
              <w:jc w:val="center"/>
              <w:rPr>
                <w:rFonts w:hint="eastAsia" w:ascii="宋体" w:hAnsi="宋体" w:eastAsia="宋体" w:cs="宋体"/>
                <w:sz w:val="24"/>
                <w:szCs w:val="24"/>
              </w:rPr>
            </w:pPr>
            <w:r>
              <w:rPr>
                <w:rFonts w:hint="eastAsia" w:ascii="宋体" w:hAnsi="宋体" w:eastAsia="宋体" w:cs="宋体"/>
                <w:sz w:val="24"/>
                <w:szCs w:val="24"/>
              </w:rPr>
              <w:t>3</w:t>
            </w:r>
          </w:p>
        </w:tc>
        <w:tc>
          <w:tcPr>
            <w:tcW w:w="4128" w:type="dxa"/>
            <w:tcBorders>
              <w:tl2br w:val="nil"/>
              <w:tr2bl w:val="nil"/>
            </w:tcBorders>
            <w:shd w:val="clear" w:color="auto" w:fill="auto"/>
            <w:vAlign w:val="center"/>
          </w:tcPr>
          <w:p w14:paraId="059089F5">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大学生常见心理困惑与异常心理</w:t>
            </w:r>
          </w:p>
        </w:tc>
        <w:tc>
          <w:tcPr>
            <w:tcW w:w="1733" w:type="dxa"/>
            <w:tcBorders>
              <w:tl2br w:val="nil"/>
              <w:tr2bl w:val="nil"/>
            </w:tcBorders>
            <w:shd w:val="clear" w:color="auto" w:fill="auto"/>
            <w:vAlign w:val="center"/>
          </w:tcPr>
          <w:p w14:paraId="08231BD6">
            <w:pPr>
              <w:spacing w:line="360" w:lineRule="auto"/>
              <w:jc w:val="center"/>
              <w:rPr>
                <w:rFonts w:hint="eastAsia" w:ascii="宋体" w:hAnsi="宋体" w:eastAsia="宋体" w:cs="宋体"/>
                <w:b/>
                <w:sz w:val="24"/>
                <w:szCs w:val="24"/>
                <w:lang w:eastAsia="zh-CN"/>
              </w:rPr>
            </w:pPr>
            <w:r>
              <w:rPr>
                <w:rFonts w:hint="eastAsia" w:ascii="宋体" w:hAnsi="宋体" w:cs="宋体"/>
                <w:b/>
                <w:sz w:val="24"/>
                <w:szCs w:val="24"/>
                <w:lang w:val="en-US" w:eastAsia="zh-CN"/>
              </w:rPr>
              <w:t>2</w:t>
            </w:r>
          </w:p>
        </w:tc>
        <w:tc>
          <w:tcPr>
            <w:tcW w:w="1412" w:type="dxa"/>
            <w:tcBorders>
              <w:tl2br w:val="nil"/>
              <w:tr2bl w:val="nil"/>
            </w:tcBorders>
            <w:shd w:val="clear" w:color="auto" w:fill="auto"/>
            <w:vAlign w:val="center"/>
          </w:tcPr>
          <w:p w14:paraId="3D0BE08D">
            <w:pPr>
              <w:spacing w:line="360" w:lineRule="auto"/>
              <w:ind w:firstLine="425"/>
              <w:jc w:val="center"/>
              <w:rPr>
                <w:rFonts w:hint="eastAsia" w:ascii="宋体" w:hAnsi="宋体" w:eastAsia="宋体" w:cs="宋体"/>
                <w:sz w:val="24"/>
                <w:szCs w:val="24"/>
              </w:rPr>
            </w:pPr>
          </w:p>
        </w:tc>
      </w:tr>
      <w:tr w14:paraId="247E5755">
        <w:trPr>
          <w:trHeight w:val="850" w:hRule="atLeast"/>
          <w:jc w:val="center"/>
        </w:trPr>
        <w:tc>
          <w:tcPr>
            <w:tcW w:w="954" w:type="dxa"/>
            <w:tcBorders>
              <w:tl2br w:val="nil"/>
              <w:tr2bl w:val="nil"/>
            </w:tcBorders>
            <w:shd w:val="clear" w:color="auto" w:fill="auto"/>
            <w:vAlign w:val="center"/>
          </w:tcPr>
          <w:p w14:paraId="559FDEE8">
            <w:pPr>
              <w:spacing w:line="360" w:lineRule="auto"/>
              <w:jc w:val="center"/>
              <w:rPr>
                <w:rFonts w:hint="eastAsia" w:ascii="宋体" w:hAnsi="宋体" w:eastAsia="宋体" w:cs="宋体"/>
                <w:sz w:val="24"/>
                <w:szCs w:val="24"/>
              </w:rPr>
            </w:pPr>
            <w:r>
              <w:rPr>
                <w:rFonts w:hint="eastAsia" w:ascii="宋体" w:hAnsi="宋体" w:eastAsia="宋体" w:cs="宋体"/>
                <w:sz w:val="24"/>
                <w:szCs w:val="24"/>
              </w:rPr>
              <w:t>4</w:t>
            </w:r>
          </w:p>
        </w:tc>
        <w:tc>
          <w:tcPr>
            <w:tcW w:w="4128" w:type="dxa"/>
            <w:tcBorders>
              <w:tl2br w:val="nil"/>
              <w:tr2bl w:val="nil"/>
            </w:tcBorders>
            <w:shd w:val="clear" w:color="auto" w:fill="auto"/>
            <w:vAlign w:val="center"/>
          </w:tcPr>
          <w:p w14:paraId="61D57F4A">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大学生自我意识与培养</w:t>
            </w:r>
          </w:p>
        </w:tc>
        <w:tc>
          <w:tcPr>
            <w:tcW w:w="1733" w:type="dxa"/>
            <w:tcBorders>
              <w:tl2br w:val="nil"/>
              <w:tr2bl w:val="nil"/>
            </w:tcBorders>
            <w:shd w:val="clear" w:color="auto" w:fill="auto"/>
            <w:vAlign w:val="center"/>
          </w:tcPr>
          <w:p w14:paraId="0E1B835C">
            <w:pPr>
              <w:spacing w:line="360" w:lineRule="auto"/>
              <w:jc w:val="center"/>
              <w:rPr>
                <w:rFonts w:hint="eastAsia" w:ascii="宋体" w:hAnsi="宋体" w:eastAsia="宋体" w:cs="宋体"/>
                <w:b/>
                <w:sz w:val="24"/>
                <w:szCs w:val="24"/>
                <w:lang w:eastAsia="zh-CN"/>
              </w:rPr>
            </w:pPr>
            <w:r>
              <w:rPr>
                <w:rFonts w:hint="eastAsia" w:ascii="宋体" w:hAnsi="宋体" w:eastAsia="宋体" w:cs="宋体"/>
                <w:b/>
                <w:sz w:val="24"/>
                <w:szCs w:val="24"/>
                <w:lang w:val="en-US" w:eastAsia="zh-CN"/>
              </w:rPr>
              <w:t>3</w:t>
            </w:r>
          </w:p>
        </w:tc>
        <w:tc>
          <w:tcPr>
            <w:tcW w:w="1412" w:type="dxa"/>
            <w:tcBorders>
              <w:tl2br w:val="nil"/>
              <w:tr2bl w:val="nil"/>
            </w:tcBorders>
            <w:shd w:val="clear" w:color="auto" w:fill="auto"/>
            <w:vAlign w:val="center"/>
          </w:tcPr>
          <w:p w14:paraId="0419FCBA">
            <w:pPr>
              <w:spacing w:line="360" w:lineRule="auto"/>
              <w:ind w:firstLine="425"/>
              <w:jc w:val="center"/>
              <w:rPr>
                <w:rFonts w:hint="eastAsia" w:ascii="宋体" w:hAnsi="宋体" w:eastAsia="宋体" w:cs="宋体"/>
                <w:sz w:val="24"/>
                <w:szCs w:val="24"/>
              </w:rPr>
            </w:pPr>
          </w:p>
        </w:tc>
      </w:tr>
      <w:tr w14:paraId="72D69555">
        <w:trPr>
          <w:trHeight w:val="850" w:hRule="atLeast"/>
          <w:jc w:val="center"/>
        </w:trPr>
        <w:tc>
          <w:tcPr>
            <w:tcW w:w="954" w:type="dxa"/>
            <w:tcBorders>
              <w:tl2br w:val="nil"/>
              <w:tr2bl w:val="nil"/>
            </w:tcBorders>
            <w:shd w:val="clear" w:color="auto" w:fill="auto"/>
            <w:vAlign w:val="center"/>
          </w:tcPr>
          <w:p w14:paraId="22D60CE5">
            <w:pPr>
              <w:spacing w:line="360" w:lineRule="auto"/>
              <w:jc w:val="center"/>
              <w:rPr>
                <w:rFonts w:hint="eastAsia" w:ascii="宋体" w:hAnsi="宋体" w:eastAsia="宋体" w:cs="宋体"/>
                <w:sz w:val="24"/>
                <w:szCs w:val="24"/>
              </w:rPr>
            </w:pPr>
            <w:r>
              <w:rPr>
                <w:rFonts w:hint="eastAsia" w:ascii="宋体" w:hAnsi="宋体" w:eastAsia="宋体" w:cs="宋体"/>
                <w:sz w:val="24"/>
                <w:szCs w:val="24"/>
              </w:rPr>
              <w:t>5</w:t>
            </w:r>
          </w:p>
        </w:tc>
        <w:tc>
          <w:tcPr>
            <w:tcW w:w="4128" w:type="dxa"/>
            <w:tcBorders>
              <w:tl2br w:val="nil"/>
              <w:tr2bl w:val="nil"/>
            </w:tcBorders>
            <w:shd w:val="clear" w:color="auto" w:fill="auto"/>
            <w:vAlign w:val="center"/>
          </w:tcPr>
          <w:p w14:paraId="5BDE5723">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大学生人格发展与培养</w:t>
            </w:r>
          </w:p>
        </w:tc>
        <w:tc>
          <w:tcPr>
            <w:tcW w:w="1733" w:type="dxa"/>
            <w:tcBorders>
              <w:tl2br w:val="nil"/>
              <w:tr2bl w:val="nil"/>
            </w:tcBorders>
            <w:shd w:val="clear" w:color="auto" w:fill="auto"/>
            <w:vAlign w:val="center"/>
          </w:tcPr>
          <w:p w14:paraId="25E2B8CC">
            <w:pPr>
              <w:spacing w:line="360" w:lineRule="auto"/>
              <w:jc w:val="center"/>
              <w:rPr>
                <w:rFonts w:hint="eastAsia" w:ascii="宋体" w:hAnsi="宋体" w:eastAsia="宋体" w:cs="宋体"/>
                <w:b/>
                <w:sz w:val="24"/>
                <w:szCs w:val="24"/>
                <w:lang w:eastAsia="zh-CN"/>
              </w:rPr>
            </w:pPr>
            <w:r>
              <w:rPr>
                <w:rFonts w:hint="eastAsia" w:ascii="宋体" w:hAnsi="宋体" w:eastAsia="宋体" w:cs="宋体"/>
                <w:b/>
                <w:sz w:val="24"/>
                <w:szCs w:val="24"/>
                <w:lang w:val="en-US" w:eastAsia="zh-CN"/>
              </w:rPr>
              <w:t>3</w:t>
            </w:r>
          </w:p>
        </w:tc>
        <w:tc>
          <w:tcPr>
            <w:tcW w:w="1412" w:type="dxa"/>
            <w:tcBorders>
              <w:tl2br w:val="nil"/>
              <w:tr2bl w:val="nil"/>
            </w:tcBorders>
            <w:shd w:val="clear" w:color="auto" w:fill="auto"/>
            <w:vAlign w:val="center"/>
          </w:tcPr>
          <w:p w14:paraId="7351FBD9">
            <w:pPr>
              <w:spacing w:line="360" w:lineRule="auto"/>
              <w:ind w:firstLine="425"/>
              <w:jc w:val="center"/>
              <w:rPr>
                <w:rFonts w:hint="eastAsia" w:ascii="宋体" w:hAnsi="宋体" w:eastAsia="宋体" w:cs="宋体"/>
                <w:sz w:val="24"/>
                <w:szCs w:val="24"/>
              </w:rPr>
            </w:pPr>
          </w:p>
        </w:tc>
      </w:tr>
      <w:tr w14:paraId="48C1D7A8">
        <w:trPr>
          <w:trHeight w:val="850" w:hRule="atLeast"/>
          <w:jc w:val="center"/>
        </w:trPr>
        <w:tc>
          <w:tcPr>
            <w:tcW w:w="954" w:type="dxa"/>
            <w:tcBorders>
              <w:tl2br w:val="nil"/>
              <w:tr2bl w:val="nil"/>
            </w:tcBorders>
            <w:shd w:val="clear" w:color="auto" w:fill="auto"/>
            <w:vAlign w:val="center"/>
          </w:tcPr>
          <w:p w14:paraId="6D8A7B8A">
            <w:pPr>
              <w:spacing w:line="360" w:lineRule="auto"/>
              <w:jc w:val="center"/>
              <w:rPr>
                <w:rFonts w:hint="eastAsia" w:ascii="宋体" w:hAnsi="宋体" w:eastAsia="宋体" w:cs="宋体"/>
                <w:sz w:val="24"/>
                <w:szCs w:val="24"/>
              </w:rPr>
            </w:pPr>
            <w:r>
              <w:rPr>
                <w:rFonts w:hint="eastAsia" w:ascii="宋体" w:hAnsi="宋体" w:eastAsia="宋体" w:cs="宋体"/>
                <w:sz w:val="24"/>
                <w:szCs w:val="24"/>
              </w:rPr>
              <w:t>6</w:t>
            </w:r>
          </w:p>
        </w:tc>
        <w:tc>
          <w:tcPr>
            <w:tcW w:w="4128" w:type="dxa"/>
            <w:tcBorders>
              <w:tl2br w:val="nil"/>
              <w:tr2bl w:val="nil"/>
            </w:tcBorders>
            <w:shd w:val="clear" w:color="auto" w:fill="auto"/>
            <w:vAlign w:val="center"/>
          </w:tcPr>
          <w:p w14:paraId="6074B705">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大学生职业生涯规划与择业心理 </w:t>
            </w:r>
          </w:p>
        </w:tc>
        <w:tc>
          <w:tcPr>
            <w:tcW w:w="1733" w:type="dxa"/>
            <w:tcBorders>
              <w:tl2br w:val="nil"/>
              <w:tr2bl w:val="nil"/>
            </w:tcBorders>
            <w:shd w:val="clear" w:color="auto" w:fill="auto"/>
            <w:vAlign w:val="center"/>
          </w:tcPr>
          <w:p w14:paraId="2A6B19AC">
            <w:pPr>
              <w:spacing w:line="360" w:lineRule="auto"/>
              <w:jc w:val="center"/>
              <w:rPr>
                <w:rFonts w:hint="eastAsia" w:ascii="宋体" w:hAnsi="宋体" w:eastAsia="宋体" w:cs="宋体"/>
                <w:b/>
                <w:sz w:val="24"/>
                <w:szCs w:val="24"/>
                <w:lang w:eastAsia="zh-CN"/>
              </w:rPr>
            </w:pPr>
            <w:r>
              <w:rPr>
                <w:rFonts w:hint="eastAsia" w:ascii="宋体" w:hAnsi="宋体" w:eastAsia="宋体" w:cs="宋体"/>
                <w:b/>
                <w:sz w:val="24"/>
                <w:szCs w:val="24"/>
                <w:lang w:val="en-US" w:eastAsia="zh-CN"/>
              </w:rPr>
              <w:t>3</w:t>
            </w:r>
          </w:p>
        </w:tc>
        <w:tc>
          <w:tcPr>
            <w:tcW w:w="1412" w:type="dxa"/>
            <w:tcBorders>
              <w:tl2br w:val="nil"/>
              <w:tr2bl w:val="nil"/>
            </w:tcBorders>
            <w:shd w:val="clear" w:color="auto" w:fill="auto"/>
            <w:vAlign w:val="center"/>
          </w:tcPr>
          <w:p w14:paraId="4CE4B7C8">
            <w:pPr>
              <w:spacing w:line="360" w:lineRule="auto"/>
              <w:ind w:firstLine="425"/>
              <w:jc w:val="center"/>
              <w:rPr>
                <w:rFonts w:hint="eastAsia" w:ascii="宋体" w:hAnsi="宋体" w:eastAsia="宋体" w:cs="宋体"/>
                <w:sz w:val="24"/>
                <w:szCs w:val="24"/>
              </w:rPr>
            </w:pPr>
          </w:p>
        </w:tc>
      </w:tr>
      <w:tr w14:paraId="2C1E77FF">
        <w:trPr>
          <w:trHeight w:val="850" w:hRule="atLeast"/>
          <w:jc w:val="center"/>
        </w:trPr>
        <w:tc>
          <w:tcPr>
            <w:tcW w:w="954" w:type="dxa"/>
            <w:tcBorders>
              <w:tl2br w:val="nil"/>
              <w:tr2bl w:val="nil"/>
            </w:tcBorders>
            <w:shd w:val="clear" w:color="auto" w:fill="auto"/>
            <w:vAlign w:val="center"/>
          </w:tcPr>
          <w:p w14:paraId="611789F1">
            <w:pPr>
              <w:spacing w:line="360" w:lineRule="auto"/>
              <w:jc w:val="center"/>
              <w:rPr>
                <w:rFonts w:hint="eastAsia" w:ascii="宋体" w:hAnsi="宋体" w:eastAsia="宋体" w:cs="宋体"/>
                <w:sz w:val="24"/>
                <w:szCs w:val="24"/>
              </w:rPr>
            </w:pPr>
            <w:r>
              <w:rPr>
                <w:rFonts w:hint="eastAsia" w:ascii="宋体" w:hAnsi="宋体" w:eastAsia="宋体" w:cs="宋体"/>
                <w:sz w:val="24"/>
                <w:szCs w:val="24"/>
              </w:rPr>
              <w:t>7</w:t>
            </w:r>
          </w:p>
        </w:tc>
        <w:tc>
          <w:tcPr>
            <w:tcW w:w="4128" w:type="dxa"/>
            <w:tcBorders>
              <w:tl2br w:val="nil"/>
              <w:tr2bl w:val="nil"/>
            </w:tcBorders>
            <w:shd w:val="clear" w:color="auto" w:fill="auto"/>
            <w:vAlign w:val="center"/>
          </w:tcPr>
          <w:p w14:paraId="2988A971">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大学生学习心理与创造性思维培养 </w:t>
            </w:r>
          </w:p>
        </w:tc>
        <w:tc>
          <w:tcPr>
            <w:tcW w:w="1733" w:type="dxa"/>
            <w:tcBorders>
              <w:tl2br w:val="nil"/>
              <w:tr2bl w:val="nil"/>
            </w:tcBorders>
            <w:shd w:val="clear" w:color="auto" w:fill="auto"/>
            <w:vAlign w:val="center"/>
          </w:tcPr>
          <w:p w14:paraId="252844E2">
            <w:pPr>
              <w:spacing w:line="360" w:lineRule="auto"/>
              <w:jc w:val="center"/>
              <w:rPr>
                <w:rFonts w:hint="eastAsia" w:ascii="宋体" w:hAnsi="宋体" w:eastAsia="宋体" w:cs="宋体"/>
                <w:b/>
                <w:sz w:val="24"/>
                <w:szCs w:val="24"/>
                <w:lang w:eastAsia="zh-CN"/>
              </w:rPr>
            </w:pPr>
            <w:r>
              <w:rPr>
                <w:rFonts w:hint="eastAsia" w:ascii="宋体" w:hAnsi="宋体" w:eastAsia="宋体" w:cs="宋体"/>
                <w:b/>
                <w:sz w:val="24"/>
                <w:szCs w:val="24"/>
                <w:lang w:val="en-US" w:eastAsia="zh-CN"/>
              </w:rPr>
              <w:t>4</w:t>
            </w:r>
          </w:p>
        </w:tc>
        <w:tc>
          <w:tcPr>
            <w:tcW w:w="1412" w:type="dxa"/>
            <w:tcBorders>
              <w:tl2br w:val="nil"/>
              <w:tr2bl w:val="nil"/>
            </w:tcBorders>
            <w:shd w:val="clear" w:color="auto" w:fill="auto"/>
            <w:vAlign w:val="center"/>
          </w:tcPr>
          <w:p w14:paraId="05A76096">
            <w:pPr>
              <w:spacing w:line="360" w:lineRule="auto"/>
              <w:ind w:firstLine="425"/>
              <w:jc w:val="center"/>
              <w:rPr>
                <w:rFonts w:hint="eastAsia" w:ascii="宋体" w:hAnsi="宋体" w:eastAsia="宋体" w:cs="宋体"/>
                <w:sz w:val="24"/>
                <w:szCs w:val="24"/>
              </w:rPr>
            </w:pPr>
          </w:p>
        </w:tc>
      </w:tr>
      <w:tr w14:paraId="200F0F2B">
        <w:trPr>
          <w:trHeight w:val="850" w:hRule="atLeast"/>
          <w:jc w:val="center"/>
        </w:trPr>
        <w:tc>
          <w:tcPr>
            <w:tcW w:w="954" w:type="dxa"/>
            <w:tcBorders>
              <w:tl2br w:val="nil"/>
              <w:tr2bl w:val="nil"/>
            </w:tcBorders>
            <w:shd w:val="clear" w:color="auto" w:fill="auto"/>
            <w:vAlign w:val="center"/>
          </w:tcPr>
          <w:p w14:paraId="0190FD2B">
            <w:pPr>
              <w:spacing w:line="360" w:lineRule="auto"/>
              <w:jc w:val="center"/>
              <w:rPr>
                <w:rFonts w:hint="eastAsia" w:ascii="宋体" w:hAnsi="宋体" w:eastAsia="宋体" w:cs="宋体"/>
                <w:sz w:val="24"/>
                <w:szCs w:val="24"/>
              </w:rPr>
            </w:pPr>
            <w:r>
              <w:rPr>
                <w:rFonts w:hint="eastAsia" w:ascii="宋体" w:hAnsi="宋体" w:eastAsia="宋体" w:cs="宋体"/>
                <w:sz w:val="24"/>
                <w:szCs w:val="24"/>
              </w:rPr>
              <w:t>8</w:t>
            </w:r>
          </w:p>
        </w:tc>
        <w:tc>
          <w:tcPr>
            <w:tcW w:w="4128" w:type="dxa"/>
            <w:tcBorders>
              <w:tl2br w:val="nil"/>
              <w:tr2bl w:val="nil"/>
            </w:tcBorders>
            <w:shd w:val="clear" w:color="auto" w:fill="auto"/>
            <w:vAlign w:val="center"/>
          </w:tcPr>
          <w:p w14:paraId="4A196BA9">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大学生情绪管理</w:t>
            </w:r>
          </w:p>
        </w:tc>
        <w:tc>
          <w:tcPr>
            <w:tcW w:w="1733" w:type="dxa"/>
            <w:tcBorders>
              <w:tl2br w:val="nil"/>
              <w:tr2bl w:val="nil"/>
            </w:tcBorders>
            <w:shd w:val="clear" w:color="auto" w:fill="auto"/>
            <w:vAlign w:val="center"/>
          </w:tcPr>
          <w:p w14:paraId="4D2A56FD">
            <w:pPr>
              <w:spacing w:line="360" w:lineRule="auto"/>
              <w:jc w:val="center"/>
              <w:rPr>
                <w:rFonts w:hint="eastAsia" w:ascii="宋体" w:hAnsi="宋体" w:eastAsia="宋体" w:cs="宋体"/>
                <w:b/>
                <w:sz w:val="24"/>
                <w:szCs w:val="24"/>
                <w:lang w:eastAsia="zh-CN"/>
              </w:rPr>
            </w:pPr>
            <w:r>
              <w:rPr>
                <w:rFonts w:hint="eastAsia" w:ascii="宋体" w:hAnsi="宋体" w:cs="宋体"/>
                <w:b/>
                <w:sz w:val="24"/>
                <w:szCs w:val="24"/>
                <w:lang w:val="en-US" w:eastAsia="zh-CN"/>
              </w:rPr>
              <w:t>4</w:t>
            </w:r>
          </w:p>
        </w:tc>
        <w:tc>
          <w:tcPr>
            <w:tcW w:w="1412" w:type="dxa"/>
            <w:tcBorders>
              <w:tl2br w:val="nil"/>
              <w:tr2bl w:val="nil"/>
            </w:tcBorders>
            <w:shd w:val="clear" w:color="auto" w:fill="auto"/>
            <w:vAlign w:val="center"/>
          </w:tcPr>
          <w:p w14:paraId="2FE338AC">
            <w:pPr>
              <w:spacing w:line="360" w:lineRule="auto"/>
              <w:ind w:firstLine="425"/>
              <w:jc w:val="center"/>
              <w:rPr>
                <w:rFonts w:hint="eastAsia" w:ascii="宋体" w:hAnsi="宋体" w:eastAsia="宋体" w:cs="宋体"/>
                <w:sz w:val="24"/>
                <w:szCs w:val="24"/>
              </w:rPr>
            </w:pPr>
          </w:p>
        </w:tc>
      </w:tr>
      <w:tr w14:paraId="0D3209A5">
        <w:trPr>
          <w:trHeight w:val="850" w:hRule="atLeast"/>
          <w:jc w:val="center"/>
        </w:trPr>
        <w:tc>
          <w:tcPr>
            <w:tcW w:w="954" w:type="dxa"/>
            <w:tcBorders>
              <w:tl2br w:val="nil"/>
              <w:tr2bl w:val="nil"/>
            </w:tcBorders>
            <w:shd w:val="clear" w:color="auto" w:fill="auto"/>
            <w:vAlign w:val="center"/>
          </w:tcPr>
          <w:p w14:paraId="3214818D">
            <w:pPr>
              <w:spacing w:line="360" w:lineRule="auto"/>
              <w:ind w:left="-1" w:leftChars="-8" w:hanging="16" w:hangingChars="7"/>
              <w:jc w:val="center"/>
              <w:rPr>
                <w:rFonts w:hint="eastAsia" w:ascii="宋体" w:hAnsi="宋体" w:eastAsia="宋体" w:cs="宋体"/>
                <w:sz w:val="24"/>
                <w:szCs w:val="24"/>
              </w:rPr>
            </w:pPr>
            <w:r>
              <w:rPr>
                <w:rFonts w:hint="eastAsia" w:ascii="宋体" w:hAnsi="宋体" w:eastAsia="宋体" w:cs="宋体"/>
                <w:sz w:val="24"/>
                <w:szCs w:val="24"/>
              </w:rPr>
              <w:t>9</w:t>
            </w:r>
          </w:p>
        </w:tc>
        <w:tc>
          <w:tcPr>
            <w:tcW w:w="4128" w:type="dxa"/>
            <w:tcBorders>
              <w:tl2br w:val="nil"/>
              <w:tr2bl w:val="nil"/>
            </w:tcBorders>
            <w:shd w:val="clear" w:color="auto" w:fill="auto"/>
            <w:vAlign w:val="center"/>
          </w:tcPr>
          <w:p w14:paraId="36ADBF18">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大学生人际交往</w:t>
            </w:r>
          </w:p>
        </w:tc>
        <w:tc>
          <w:tcPr>
            <w:tcW w:w="1733" w:type="dxa"/>
            <w:tcBorders>
              <w:tl2br w:val="nil"/>
              <w:tr2bl w:val="nil"/>
            </w:tcBorders>
            <w:shd w:val="clear" w:color="auto" w:fill="auto"/>
            <w:vAlign w:val="center"/>
          </w:tcPr>
          <w:p w14:paraId="0C1761E5">
            <w:pPr>
              <w:spacing w:line="360" w:lineRule="auto"/>
              <w:jc w:val="center"/>
              <w:rPr>
                <w:rFonts w:hint="eastAsia" w:ascii="宋体" w:hAnsi="宋体" w:eastAsia="宋体" w:cs="宋体"/>
                <w:b/>
                <w:sz w:val="24"/>
                <w:szCs w:val="24"/>
                <w:lang w:eastAsia="zh-CN"/>
              </w:rPr>
            </w:pPr>
            <w:r>
              <w:rPr>
                <w:rFonts w:hint="eastAsia" w:ascii="宋体" w:hAnsi="宋体" w:eastAsia="宋体" w:cs="宋体"/>
                <w:b/>
                <w:sz w:val="24"/>
                <w:szCs w:val="24"/>
                <w:lang w:val="en-US" w:eastAsia="zh-CN"/>
              </w:rPr>
              <w:t>3</w:t>
            </w:r>
          </w:p>
        </w:tc>
        <w:tc>
          <w:tcPr>
            <w:tcW w:w="1412" w:type="dxa"/>
            <w:tcBorders>
              <w:tl2br w:val="nil"/>
              <w:tr2bl w:val="nil"/>
            </w:tcBorders>
            <w:shd w:val="clear" w:color="auto" w:fill="auto"/>
            <w:vAlign w:val="center"/>
          </w:tcPr>
          <w:p w14:paraId="466725D0">
            <w:pPr>
              <w:spacing w:line="360" w:lineRule="auto"/>
              <w:ind w:firstLine="425"/>
              <w:jc w:val="center"/>
              <w:rPr>
                <w:rFonts w:hint="eastAsia" w:ascii="宋体" w:hAnsi="宋体" w:eastAsia="宋体" w:cs="宋体"/>
                <w:sz w:val="24"/>
                <w:szCs w:val="24"/>
              </w:rPr>
            </w:pPr>
          </w:p>
        </w:tc>
      </w:tr>
      <w:tr w14:paraId="1AE3677E">
        <w:trPr>
          <w:trHeight w:val="850" w:hRule="atLeast"/>
          <w:jc w:val="center"/>
        </w:trPr>
        <w:tc>
          <w:tcPr>
            <w:tcW w:w="954" w:type="dxa"/>
            <w:tcBorders>
              <w:tl2br w:val="nil"/>
              <w:tr2bl w:val="nil"/>
            </w:tcBorders>
            <w:shd w:val="clear" w:color="auto" w:fill="auto"/>
            <w:vAlign w:val="center"/>
          </w:tcPr>
          <w:p w14:paraId="074480F3">
            <w:pPr>
              <w:spacing w:line="360" w:lineRule="auto"/>
              <w:ind w:left="-1" w:leftChars="-8" w:hanging="16" w:hangingChars="7"/>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c>
          <w:tcPr>
            <w:tcW w:w="4128" w:type="dxa"/>
            <w:tcBorders>
              <w:tl2br w:val="nil"/>
              <w:tr2bl w:val="nil"/>
            </w:tcBorders>
            <w:shd w:val="clear" w:color="auto" w:fill="auto"/>
            <w:vAlign w:val="center"/>
          </w:tcPr>
          <w:p w14:paraId="138A3667">
            <w:pPr>
              <w:spacing w:line="360" w:lineRule="auto"/>
              <w:ind w:firstLine="425"/>
              <w:jc w:val="center"/>
              <w:rPr>
                <w:rFonts w:hint="eastAsia" w:ascii="宋体" w:hAnsi="宋体" w:eastAsia="宋体" w:cs="宋体"/>
                <w:sz w:val="24"/>
                <w:szCs w:val="24"/>
              </w:rPr>
            </w:pPr>
            <w:r>
              <w:rPr>
                <w:rFonts w:hint="eastAsia" w:ascii="宋体" w:hAnsi="宋体" w:eastAsia="宋体" w:cs="宋体"/>
                <w:b/>
                <w:sz w:val="24"/>
                <w:szCs w:val="24"/>
              </w:rPr>
              <w:t>大学生恋爱与性心理</w:t>
            </w:r>
          </w:p>
        </w:tc>
        <w:tc>
          <w:tcPr>
            <w:tcW w:w="1733" w:type="dxa"/>
            <w:tcBorders>
              <w:tl2br w:val="nil"/>
              <w:tr2bl w:val="nil"/>
            </w:tcBorders>
            <w:shd w:val="clear" w:color="auto" w:fill="auto"/>
            <w:vAlign w:val="center"/>
          </w:tcPr>
          <w:p w14:paraId="4DE39E67">
            <w:pPr>
              <w:spacing w:line="360" w:lineRule="auto"/>
              <w:jc w:val="center"/>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4</w:t>
            </w:r>
          </w:p>
        </w:tc>
        <w:tc>
          <w:tcPr>
            <w:tcW w:w="1412" w:type="dxa"/>
            <w:tcBorders>
              <w:tl2br w:val="nil"/>
              <w:tr2bl w:val="nil"/>
            </w:tcBorders>
            <w:shd w:val="clear" w:color="auto" w:fill="auto"/>
            <w:vAlign w:val="center"/>
          </w:tcPr>
          <w:p w14:paraId="56A06F91">
            <w:pPr>
              <w:spacing w:line="360" w:lineRule="auto"/>
              <w:ind w:firstLine="425"/>
              <w:jc w:val="center"/>
              <w:rPr>
                <w:rFonts w:hint="eastAsia" w:ascii="宋体" w:hAnsi="宋体" w:eastAsia="宋体" w:cs="宋体"/>
                <w:sz w:val="24"/>
                <w:szCs w:val="24"/>
              </w:rPr>
            </w:pPr>
          </w:p>
        </w:tc>
      </w:tr>
      <w:tr w14:paraId="6522634B">
        <w:trPr>
          <w:trHeight w:val="850" w:hRule="atLeast"/>
          <w:jc w:val="center"/>
        </w:trPr>
        <w:tc>
          <w:tcPr>
            <w:tcW w:w="954" w:type="dxa"/>
            <w:tcBorders>
              <w:tl2br w:val="nil"/>
              <w:tr2bl w:val="nil"/>
            </w:tcBorders>
            <w:shd w:val="clear" w:color="auto" w:fill="auto"/>
            <w:vAlign w:val="center"/>
          </w:tcPr>
          <w:p w14:paraId="0740B584">
            <w:pPr>
              <w:spacing w:line="360" w:lineRule="auto"/>
              <w:ind w:left="-1" w:leftChars="-8" w:hanging="16" w:hangingChars="7"/>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11</w:t>
            </w:r>
          </w:p>
        </w:tc>
        <w:tc>
          <w:tcPr>
            <w:tcW w:w="4128" w:type="dxa"/>
            <w:tcBorders>
              <w:tl2br w:val="nil"/>
              <w:tr2bl w:val="nil"/>
            </w:tcBorders>
            <w:shd w:val="clear" w:color="auto" w:fill="auto"/>
            <w:vAlign w:val="center"/>
          </w:tcPr>
          <w:p w14:paraId="70173F80">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大学生压力管理与挫折应对 </w:t>
            </w:r>
          </w:p>
        </w:tc>
        <w:tc>
          <w:tcPr>
            <w:tcW w:w="1733" w:type="dxa"/>
            <w:tcBorders>
              <w:tl2br w:val="nil"/>
              <w:tr2bl w:val="nil"/>
            </w:tcBorders>
            <w:shd w:val="clear" w:color="auto" w:fill="auto"/>
            <w:vAlign w:val="center"/>
          </w:tcPr>
          <w:p w14:paraId="51C1C214">
            <w:pPr>
              <w:spacing w:line="360" w:lineRule="auto"/>
              <w:jc w:val="center"/>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3</w:t>
            </w:r>
          </w:p>
        </w:tc>
        <w:tc>
          <w:tcPr>
            <w:tcW w:w="1412" w:type="dxa"/>
            <w:tcBorders>
              <w:tl2br w:val="nil"/>
              <w:tr2bl w:val="nil"/>
            </w:tcBorders>
            <w:shd w:val="clear" w:color="auto" w:fill="auto"/>
            <w:vAlign w:val="center"/>
          </w:tcPr>
          <w:p w14:paraId="1E756671">
            <w:pPr>
              <w:spacing w:line="360" w:lineRule="auto"/>
              <w:ind w:firstLine="425"/>
              <w:jc w:val="center"/>
              <w:rPr>
                <w:rFonts w:hint="eastAsia" w:ascii="宋体" w:hAnsi="宋体" w:eastAsia="宋体" w:cs="宋体"/>
                <w:sz w:val="24"/>
                <w:szCs w:val="24"/>
              </w:rPr>
            </w:pPr>
          </w:p>
        </w:tc>
      </w:tr>
      <w:tr w14:paraId="4624209C">
        <w:trPr>
          <w:trHeight w:val="850" w:hRule="atLeast"/>
          <w:jc w:val="center"/>
        </w:trPr>
        <w:tc>
          <w:tcPr>
            <w:tcW w:w="954" w:type="dxa"/>
            <w:tcBorders>
              <w:tl2br w:val="nil"/>
              <w:tr2bl w:val="nil"/>
            </w:tcBorders>
            <w:shd w:val="clear" w:color="auto" w:fill="auto"/>
            <w:vAlign w:val="center"/>
          </w:tcPr>
          <w:p w14:paraId="34454659">
            <w:pPr>
              <w:spacing w:line="360" w:lineRule="auto"/>
              <w:ind w:left="-1" w:leftChars="-8" w:hanging="16" w:hangingChars="7"/>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12</w:t>
            </w:r>
          </w:p>
        </w:tc>
        <w:tc>
          <w:tcPr>
            <w:tcW w:w="4128" w:type="dxa"/>
            <w:tcBorders>
              <w:tl2br w:val="nil"/>
              <w:tr2bl w:val="nil"/>
            </w:tcBorders>
            <w:shd w:val="clear" w:color="auto" w:fill="auto"/>
            <w:vAlign w:val="center"/>
          </w:tcPr>
          <w:p w14:paraId="4259644A">
            <w:pPr>
              <w:spacing w:line="360" w:lineRule="auto"/>
              <w:ind w:firstLine="26"/>
              <w:jc w:val="center"/>
              <w:rPr>
                <w:rFonts w:hint="eastAsia" w:ascii="宋体" w:hAnsi="宋体" w:eastAsia="宋体" w:cs="宋体"/>
                <w:b/>
                <w:sz w:val="24"/>
                <w:szCs w:val="24"/>
              </w:rPr>
            </w:pPr>
            <w:r>
              <w:rPr>
                <w:rFonts w:hint="eastAsia" w:ascii="宋体" w:hAnsi="宋体" w:eastAsia="宋体" w:cs="宋体"/>
                <w:b/>
                <w:sz w:val="24"/>
                <w:szCs w:val="24"/>
              </w:rPr>
              <w:t>大学生生命教育与心理危机应对</w:t>
            </w:r>
          </w:p>
        </w:tc>
        <w:tc>
          <w:tcPr>
            <w:tcW w:w="1733" w:type="dxa"/>
            <w:tcBorders>
              <w:tl2br w:val="nil"/>
              <w:tr2bl w:val="nil"/>
            </w:tcBorders>
            <w:shd w:val="clear" w:color="auto" w:fill="auto"/>
            <w:vAlign w:val="center"/>
          </w:tcPr>
          <w:p w14:paraId="1C8AAE1C">
            <w:pPr>
              <w:spacing w:line="360" w:lineRule="auto"/>
              <w:jc w:val="center"/>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2</w:t>
            </w:r>
          </w:p>
        </w:tc>
        <w:tc>
          <w:tcPr>
            <w:tcW w:w="1412" w:type="dxa"/>
            <w:tcBorders>
              <w:tl2br w:val="nil"/>
              <w:tr2bl w:val="nil"/>
            </w:tcBorders>
            <w:shd w:val="clear" w:color="auto" w:fill="auto"/>
            <w:vAlign w:val="center"/>
          </w:tcPr>
          <w:p w14:paraId="45EE487E">
            <w:pPr>
              <w:spacing w:line="360" w:lineRule="auto"/>
              <w:ind w:firstLine="425"/>
              <w:jc w:val="center"/>
              <w:rPr>
                <w:rFonts w:hint="eastAsia" w:ascii="宋体" w:hAnsi="宋体" w:eastAsia="宋体" w:cs="宋体"/>
                <w:sz w:val="24"/>
                <w:szCs w:val="24"/>
              </w:rPr>
            </w:pPr>
          </w:p>
        </w:tc>
      </w:tr>
      <w:tr w14:paraId="203C291B">
        <w:trPr>
          <w:trHeight w:val="850" w:hRule="atLeast"/>
          <w:jc w:val="center"/>
        </w:trPr>
        <w:tc>
          <w:tcPr>
            <w:tcW w:w="954" w:type="dxa"/>
            <w:tcBorders>
              <w:tl2br w:val="nil"/>
              <w:tr2bl w:val="nil"/>
            </w:tcBorders>
            <w:shd w:val="clear" w:color="auto" w:fill="auto"/>
            <w:vAlign w:val="center"/>
          </w:tcPr>
          <w:p w14:paraId="4A74A93A">
            <w:pPr>
              <w:spacing w:line="360" w:lineRule="auto"/>
              <w:ind w:left="-1" w:leftChars="-8" w:hanging="16" w:hangingChars="7"/>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t>合计</w:t>
            </w:r>
          </w:p>
        </w:tc>
        <w:tc>
          <w:tcPr>
            <w:tcW w:w="4128" w:type="dxa"/>
            <w:tcBorders>
              <w:tl2br w:val="nil"/>
              <w:tr2bl w:val="nil"/>
            </w:tcBorders>
            <w:shd w:val="clear" w:color="auto" w:fill="auto"/>
            <w:vAlign w:val="center"/>
          </w:tcPr>
          <w:p w14:paraId="469206D4">
            <w:pPr>
              <w:spacing w:line="360" w:lineRule="auto"/>
              <w:ind w:firstLine="425"/>
              <w:jc w:val="center"/>
              <w:rPr>
                <w:rFonts w:hint="eastAsia" w:ascii="宋体" w:hAnsi="宋体" w:eastAsia="宋体" w:cs="宋体"/>
                <w:sz w:val="24"/>
                <w:szCs w:val="24"/>
              </w:rPr>
            </w:pPr>
          </w:p>
        </w:tc>
        <w:tc>
          <w:tcPr>
            <w:tcW w:w="1733" w:type="dxa"/>
            <w:tcBorders>
              <w:tl2br w:val="nil"/>
              <w:tr2bl w:val="nil"/>
            </w:tcBorders>
            <w:shd w:val="clear" w:color="auto" w:fill="auto"/>
            <w:vAlign w:val="center"/>
          </w:tcPr>
          <w:p w14:paraId="7ABFB986">
            <w:pPr>
              <w:spacing w:line="360" w:lineRule="auto"/>
              <w:jc w:val="center"/>
              <w:rPr>
                <w:rFonts w:hint="default" w:ascii="宋体" w:hAnsi="宋体" w:eastAsia="宋体" w:cs="宋体"/>
                <w:b/>
                <w:sz w:val="24"/>
                <w:szCs w:val="24"/>
                <w:lang w:val="en-US" w:eastAsia="zh-CN"/>
              </w:rPr>
            </w:pPr>
            <w:r>
              <w:rPr>
                <w:rFonts w:hint="eastAsia" w:ascii="宋体" w:hAnsi="宋体" w:cs="宋体"/>
                <w:b/>
                <w:sz w:val="24"/>
                <w:szCs w:val="24"/>
                <w:lang w:val="en-US" w:eastAsia="zh-CN"/>
              </w:rPr>
              <w:t>36</w:t>
            </w:r>
          </w:p>
        </w:tc>
        <w:tc>
          <w:tcPr>
            <w:tcW w:w="1412" w:type="dxa"/>
            <w:tcBorders>
              <w:tl2br w:val="nil"/>
              <w:tr2bl w:val="nil"/>
            </w:tcBorders>
            <w:shd w:val="clear" w:color="auto" w:fill="auto"/>
            <w:vAlign w:val="center"/>
          </w:tcPr>
          <w:p w14:paraId="0E8AF763">
            <w:pPr>
              <w:spacing w:line="360" w:lineRule="auto"/>
              <w:ind w:firstLine="425"/>
              <w:jc w:val="center"/>
              <w:rPr>
                <w:rFonts w:hint="eastAsia" w:ascii="宋体" w:hAnsi="宋体" w:eastAsia="宋体" w:cs="宋体"/>
                <w:sz w:val="24"/>
                <w:szCs w:val="24"/>
              </w:rPr>
            </w:pPr>
          </w:p>
        </w:tc>
      </w:tr>
    </w:tbl>
    <w:p w14:paraId="71DE9FC9">
      <w:pPr>
        <w:rPr>
          <w:rFonts w:ascii="华文琥珀" w:hAnsi="Times New Roman" w:eastAsia="华文琥珀"/>
          <w:b/>
          <w:bCs/>
          <w:kern w:val="44"/>
          <w:szCs w:val="21"/>
        </w:rPr>
      </w:pPr>
    </w:p>
    <w:p w14:paraId="5557A290">
      <w:pPr>
        <w:rPr>
          <w:rFonts w:hint="eastAsia"/>
          <w:kern w:val="0"/>
          <w:sz w:val="20"/>
          <w:szCs w:val="20"/>
        </w:rPr>
      </w:pPr>
    </w:p>
    <w:p w14:paraId="3F66BD18">
      <w:pPr>
        <w:rPr>
          <w:rFonts w:hint="eastAsia"/>
          <w:kern w:val="0"/>
          <w:sz w:val="20"/>
          <w:szCs w:val="20"/>
        </w:rPr>
      </w:pPr>
      <w:r>
        <w:rPr>
          <w:rFonts w:hint="eastAsia"/>
          <w:kern w:val="0"/>
          <w:sz w:val="20"/>
          <w:szCs w:val="20"/>
        </w:rPr>
        <w:br w:type="page"/>
      </w:r>
    </w:p>
    <w:tbl>
      <w:tblPr>
        <w:tblStyle w:val="7"/>
        <w:tblW w:w="10205" w:type="dxa"/>
        <w:jc w:val="center"/>
        <w:tblBorders>
          <w:top w:val="double" w:color="3A5E20" w:themeColor="accent4" w:themeShade="7F" w:sz="4" w:space="0"/>
          <w:left w:val="double" w:color="3A5E20" w:themeColor="accent4" w:themeShade="7F" w:sz="4" w:space="0"/>
          <w:bottom w:val="double" w:color="3A5E20" w:themeColor="accent4" w:themeShade="7F" w:sz="4" w:space="0"/>
          <w:right w:val="double" w:color="3A5E20" w:themeColor="accent4" w:themeShade="7F" w:sz="4" w:space="0"/>
          <w:insideH w:val="single" w:color="3A5E20" w:themeColor="accent4" w:themeShade="7F" w:sz="4" w:space="0"/>
          <w:insideV w:val="single" w:color="3A5E20" w:themeColor="accent4" w:themeShade="7F" w:sz="4" w:space="0"/>
        </w:tblBorders>
        <w:tblLayout w:type="autofit"/>
        <w:tblCellMar>
          <w:top w:w="0" w:type="dxa"/>
          <w:left w:w="108" w:type="dxa"/>
          <w:bottom w:w="0" w:type="dxa"/>
          <w:right w:w="108" w:type="dxa"/>
        </w:tblCellMar>
      </w:tblPr>
      <w:tblGrid>
        <w:gridCol w:w="734"/>
        <w:gridCol w:w="1342"/>
        <w:gridCol w:w="4006"/>
        <w:gridCol w:w="4123"/>
      </w:tblGrid>
      <w:tr w14:paraId="2A5F8710">
        <w:trPr>
          <w:trHeight w:val="567" w:hRule="atLeast"/>
          <w:jc w:val="center"/>
        </w:trPr>
        <w:tc>
          <w:tcPr>
            <w:tcW w:w="694" w:type="dxa"/>
            <w:tcBorders>
              <w:tl2br w:val="nil"/>
              <w:tr2bl w:val="nil"/>
            </w:tcBorders>
            <w:shd w:val="clear" w:color="auto" w:fill="C7E4B3" w:themeFill="accent4" w:themeFillTint="66"/>
            <w:vAlign w:val="center"/>
          </w:tcPr>
          <w:p w14:paraId="7A806713">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bCs/>
                <w:color w:val="843F0B" w:themeColor="accent2" w:themeShade="80"/>
                <w:kern w:val="0"/>
                <w:sz w:val="21"/>
                <w:szCs w:val="21"/>
              </w:rPr>
            </w:pPr>
            <w:r>
              <w:rPr>
                <w:rFonts w:hint="eastAsia" w:ascii="黑体" w:hAnsi="黑体" w:eastAsia="黑体" w:cs="黑体"/>
                <w:b/>
                <w:bCs/>
                <w:color w:val="843F0B" w:themeColor="accent2" w:themeShade="80"/>
                <w:kern w:val="0"/>
                <w:sz w:val="21"/>
                <w:szCs w:val="21"/>
              </w:rPr>
              <w:t>序号</w:t>
            </w:r>
          </w:p>
        </w:tc>
        <w:tc>
          <w:tcPr>
            <w:tcW w:w="1267" w:type="dxa"/>
            <w:tcBorders>
              <w:tl2br w:val="nil"/>
              <w:tr2bl w:val="nil"/>
            </w:tcBorders>
            <w:shd w:val="clear" w:color="auto" w:fill="C7E4B3" w:themeFill="accent4" w:themeFillTint="66"/>
            <w:vAlign w:val="center"/>
          </w:tcPr>
          <w:p w14:paraId="5054FE0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bCs/>
                <w:color w:val="843F0B" w:themeColor="accent2" w:themeShade="80"/>
                <w:kern w:val="0"/>
                <w:sz w:val="21"/>
                <w:szCs w:val="21"/>
              </w:rPr>
            </w:pPr>
            <w:r>
              <w:rPr>
                <w:rFonts w:hint="eastAsia" w:ascii="黑体" w:hAnsi="黑体" w:eastAsia="黑体" w:cs="黑体"/>
                <w:b/>
                <w:bCs/>
                <w:color w:val="843F0B" w:themeColor="accent2" w:themeShade="80"/>
                <w:kern w:val="0"/>
                <w:sz w:val="21"/>
                <w:szCs w:val="21"/>
              </w:rPr>
              <w:t>课题</w:t>
            </w:r>
          </w:p>
        </w:tc>
        <w:tc>
          <w:tcPr>
            <w:tcW w:w="3783" w:type="dxa"/>
            <w:tcBorders>
              <w:tl2br w:val="nil"/>
              <w:tr2bl w:val="nil"/>
            </w:tcBorders>
            <w:shd w:val="clear" w:color="auto" w:fill="C7E4B3" w:themeFill="accent4" w:themeFillTint="66"/>
            <w:vAlign w:val="center"/>
          </w:tcPr>
          <w:p w14:paraId="4CD5F08D">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bCs/>
                <w:color w:val="843F0B" w:themeColor="accent2" w:themeShade="80"/>
                <w:kern w:val="0"/>
                <w:sz w:val="21"/>
                <w:szCs w:val="21"/>
              </w:rPr>
            </w:pPr>
            <w:r>
              <w:rPr>
                <w:rFonts w:hint="eastAsia" w:ascii="黑体" w:hAnsi="黑体" w:eastAsia="黑体" w:cs="黑体"/>
                <w:b/>
                <w:bCs/>
                <w:color w:val="843F0B" w:themeColor="accent2" w:themeShade="80"/>
                <w:kern w:val="0"/>
                <w:sz w:val="21"/>
                <w:szCs w:val="21"/>
              </w:rPr>
              <w:t>知识要求</w:t>
            </w:r>
          </w:p>
        </w:tc>
        <w:tc>
          <w:tcPr>
            <w:tcW w:w="3894" w:type="dxa"/>
            <w:tcBorders>
              <w:tl2br w:val="nil"/>
              <w:tr2bl w:val="nil"/>
            </w:tcBorders>
            <w:shd w:val="clear" w:color="auto" w:fill="C7E4B3" w:themeFill="accent4" w:themeFillTint="66"/>
            <w:vAlign w:val="center"/>
          </w:tcPr>
          <w:p w14:paraId="0E11FD2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bCs/>
                <w:color w:val="843F0B" w:themeColor="accent2" w:themeShade="80"/>
                <w:kern w:val="0"/>
                <w:sz w:val="21"/>
                <w:szCs w:val="21"/>
              </w:rPr>
            </w:pPr>
            <w:r>
              <w:rPr>
                <w:rFonts w:hint="eastAsia" w:ascii="黑体" w:hAnsi="黑体" w:eastAsia="黑体" w:cs="黑体"/>
                <w:b/>
                <w:bCs/>
                <w:color w:val="843F0B" w:themeColor="accent2" w:themeShade="80"/>
                <w:kern w:val="0"/>
                <w:sz w:val="21"/>
                <w:szCs w:val="21"/>
              </w:rPr>
              <w:t>技能要求</w:t>
            </w:r>
          </w:p>
        </w:tc>
      </w:tr>
      <w:tr w14:paraId="63125E26">
        <w:trPr>
          <w:trHeight w:val="567" w:hRule="atLeast"/>
          <w:jc w:val="center"/>
        </w:trPr>
        <w:tc>
          <w:tcPr>
            <w:tcW w:w="694" w:type="dxa"/>
            <w:tcBorders>
              <w:tl2br w:val="nil"/>
              <w:tr2bl w:val="nil"/>
            </w:tcBorders>
            <w:vAlign w:val="center"/>
          </w:tcPr>
          <w:p w14:paraId="6AABDE50">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1</w:t>
            </w:r>
          </w:p>
        </w:tc>
        <w:tc>
          <w:tcPr>
            <w:tcW w:w="1267" w:type="dxa"/>
            <w:tcBorders>
              <w:tl2br w:val="nil"/>
              <w:tr2bl w:val="nil"/>
            </w:tcBorders>
            <w:vAlign w:val="center"/>
          </w:tcPr>
          <w:p w14:paraId="26ADE67B">
            <w:pPr>
              <w:keepNext w:val="0"/>
              <w:keepLines w:val="0"/>
              <w:pageBreakBefore w:val="0"/>
              <w:widowControl w:val="0"/>
              <w:kinsoku/>
              <w:wordWrap/>
              <w:overflowPunct/>
              <w:topLinePunct w:val="0"/>
              <w:autoSpaceDE/>
              <w:autoSpaceDN/>
              <w:bidi w:val="0"/>
              <w:adjustRightInd/>
              <w:snapToGrid/>
              <w:spacing w:line="288" w:lineRule="auto"/>
              <w:ind w:left="0" w:leftChars="0"/>
              <w:jc w:val="left"/>
              <w:textAlignment w:val="auto"/>
              <w:rPr>
                <w:rFonts w:ascii="宋体" w:hAnsi="宋体" w:cs="宋体"/>
                <w:color w:val="000000"/>
                <w:kern w:val="0"/>
                <w:sz w:val="21"/>
                <w:szCs w:val="21"/>
              </w:rPr>
            </w:pPr>
            <w:r>
              <w:rPr>
                <w:rFonts w:hint="eastAsia"/>
              </w:rPr>
              <w:t>大学生心理健康导论</w:t>
            </w:r>
            <w:r>
              <w:rPr>
                <w:rFonts w:hint="eastAsia" w:ascii="宋体" w:hAnsi="宋体" w:cs="宋体"/>
                <w:kern w:val="0"/>
                <w:sz w:val="21"/>
                <w:szCs w:val="21"/>
              </w:rPr>
              <w:t> </w:t>
            </w:r>
          </w:p>
        </w:tc>
        <w:tc>
          <w:tcPr>
            <w:tcW w:w="3783" w:type="dxa"/>
            <w:tcBorders>
              <w:tl2br w:val="nil"/>
              <w:tr2bl w:val="nil"/>
            </w:tcBorders>
            <w:vAlign w:val="center"/>
          </w:tcPr>
          <w:p w14:paraId="2FEF0809">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了解心理活动的表现形式。 </w:t>
            </w:r>
          </w:p>
          <w:p w14:paraId="319864F9">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明确心理健康的标准和意义。</w:t>
            </w:r>
          </w:p>
        </w:tc>
        <w:tc>
          <w:tcPr>
            <w:tcW w:w="3894" w:type="dxa"/>
            <w:tcBorders>
              <w:tl2br w:val="nil"/>
              <w:tr2bl w:val="nil"/>
            </w:tcBorders>
            <w:vAlign w:val="center"/>
          </w:tcPr>
          <w:p w14:paraId="00F27EC9">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能够对自身心理健康状况进行正确、客观的认知和评价。</w:t>
            </w:r>
          </w:p>
          <w:p w14:paraId="68A186CF">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掌握探索自我心理现象的技能，发展心理调适技能及心理发展技能。</w:t>
            </w:r>
          </w:p>
        </w:tc>
      </w:tr>
      <w:tr w14:paraId="7D39C495">
        <w:trPr>
          <w:trHeight w:val="567" w:hRule="atLeast"/>
          <w:jc w:val="center"/>
        </w:trPr>
        <w:tc>
          <w:tcPr>
            <w:tcW w:w="694" w:type="dxa"/>
            <w:tcBorders>
              <w:tl2br w:val="nil"/>
              <w:tr2bl w:val="nil"/>
            </w:tcBorders>
            <w:vAlign w:val="center"/>
          </w:tcPr>
          <w:p w14:paraId="1CDED5D3">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2</w:t>
            </w:r>
          </w:p>
        </w:tc>
        <w:tc>
          <w:tcPr>
            <w:tcW w:w="1267" w:type="dxa"/>
            <w:tcBorders>
              <w:tl2br w:val="nil"/>
              <w:tr2bl w:val="nil"/>
            </w:tcBorders>
            <w:vAlign w:val="center"/>
          </w:tcPr>
          <w:p w14:paraId="65329BA2">
            <w:pPr>
              <w:keepNext w:val="0"/>
              <w:keepLines w:val="0"/>
              <w:pageBreakBefore w:val="0"/>
              <w:widowControl w:val="0"/>
              <w:kinsoku/>
              <w:wordWrap/>
              <w:overflowPunct/>
              <w:topLinePunct w:val="0"/>
              <w:autoSpaceDE/>
              <w:autoSpaceDN/>
              <w:bidi w:val="0"/>
              <w:adjustRightInd/>
              <w:snapToGrid/>
              <w:spacing w:line="288" w:lineRule="auto"/>
              <w:ind w:left="0" w:leftChars="0"/>
              <w:jc w:val="both"/>
              <w:textAlignment w:val="auto"/>
              <w:rPr>
                <w:rFonts w:ascii="宋体" w:hAnsi="宋体" w:cs="宋体"/>
                <w:color w:val="000000"/>
                <w:kern w:val="0"/>
                <w:sz w:val="21"/>
                <w:szCs w:val="21"/>
              </w:rPr>
            </w:pPr>
            <w:r>
              <w:rPr>
                <w:rFonts w:hint="eastAsia" w:ascii="宋体" w:hAnsi="宋体" w:cs="宋体"/>
                <w:kern w:val="0"/>
                <w:sz w:val="21"/>
                <w:szCs w:val="21"/>
              </w:rPr>
              <w:t>大学生心理咨询与心理治疗</w:t>
            </w:r>
          </w:p>
        </w:tc>
        <w:tc>
          <w:tcPr>
            <w:tcW w:w="3783" w:type="dxa"/>
            <w:tcBorders>
              <w:tl2br w:val="nil"/>
              <w:tr2bl w:val="nil"/>
            </w:tcBorders>
            <w:vAlign w:val="center"/>
          </w:tcPr>
          <w:p w14:paraId="71D74401">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了解高校心理咨询、心理治疗的性质、方法。</w:t>
            </w:r>
          </w:p>
          <w:p w14:paraId="39CE162B">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熟悉高校心理咨询的内容。</w:t>
            </w:r>
          </w:p>
        </w:tc>
        <w:tc>
          <w:tcPr>
            <w:tcW w:w="3894" w:type="dxa"/>
            <w:tcBorders>
              <w:tl2br w:val="nil"/>
              <w:tr2bl w:val="nil"/>
            </w:tcBorders>
            <w:vAlign w:val="center"/>
          </w:tcPr>
          <w:p w14:paraId="61A8C7CC">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color w:val="333333"/>
                <w:kern w:val="0"/>
                <w:sz w:val="21"/>
                <w:szCs w:val="21"/>
              </w:rPr>
            </w:pPr>
            <w:r>
              <w:rPr>
                <w:rFonts w:hint="eastAsia" w:ascii="宋体" w:hAnsi="宋体" w:cs="宋体"/>
                <w:kern w:val="0"/>
                <w:sz w:val="21"/>
                <w:szCs w:val="21"/>
              </w:rPr>
              <w:t>熟练应用焦虑自评量表 SAS，并能根据测试结果了解自身焦虑程度。</w:t>
            </w:r>
          </w:p>
        </w:tc>
      </w:tr>
      <w:tr w14:paraId="1186562C">
        <w:trPr>
          <w:trHeight w:val="567" w:hRule="atLeast"/>
          <w:jc w:val="center"/>
        </w:trPr>
        <w:tc>
          <w:tcPr>
            <w:tcW w:w="694" w:type="dxa"/>
            <w:tcBorders>
              <w:tl2br w:val="nil"/>
              <w:tr2bl w:val="nil"/>
            </w:tcBorders>
            <w:vAlign w:val="center"/>
          </w:tcPr>
          <w:p w14:paraId="52605105">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3</w:t>
            </w:r>
          </w:p>
        </w:tc>
        <w:tc>
          <w:tcPr>
            <w:tcW w:w="1267" w:type="dxa"/>
            <w:tcBorders>
              <w:tl2br w:val="nil"/>
              <w:tr2bl w:val="nil"/>
            </w:tcBorders>
            <w:vAlign w:val="center"/>
          </w:tcPr>
          <w:p w14:paraId="1CC74B14">
            <w:pPr>
              <w:keepNext w:val="0"/>
              <w:keepLines w:val="0"/>
              <w:pageBreakBefore w:val="0"/>
              <w:widowControl w:val="0"/>
              <w:kinsoku/>
              <w:wordWrap/>
              <w:overflowPunct/>
              <w:topLinePunct w:val="0"/>
              <w:autoSpaceDE/>
              <w:autoSpaceDN/>
              <w:bidi w:val="0"/>
              <w:adjustRightInd/>
              <w:snapToGrid/>
              <w:spacing w:line="288" w:lineRule="auto"/>
              <w:ind w:left="0" w:leftChars="0"/>
              <w:jc w:val="both"/>
              <w:textAlignment w:val="auto"/>
              <w:rPr>
                <w:rFonts w:ascii="宋体" w:hAnsi="宋体" w:cs="宋体"/>
                <w:color w:val="000000"/>
                <w:kern w:val="0"/>
                <w:sz w:val="21"/>
                <w:szCs w:val="21"/>
              </w:rPr>
            </w:pPr>
            <w:r>
              <w:rPr>
                <w:rFonts w:hint="eastAsia" w:ascii="宋体" w:hAnsi="宋体" w:cs="宋体"/>
                <w:kern w:val="0"/>
                <w:sz w:val="21"/>
                <w:szCs w:val="21"/>
              </w:rPr>
              <w:t>大学生常见心理困惑与异常心理</w:t>
            </w:r>
          </w:p>
        </w:tc>
        <w:tc>
          <w:tcPr>
            <w:tcW w:w="3783" w:type="dxa"/>
            <w:tcBorders>
              <w:tl2br w:val="nil"/>
              <w:tr2bl w:val="nil"/>
            </w:tcBorders>
            <w:vAlign w:val="center"/>
          </w:tcPr>
          <w:p w14:paraId="60927507">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了解大学生常见心理困惑和心理障碍的分类（CCMD-3）。</w:t>
            </w:r>
          </w:p>
          <w:p w14:paraId="1D33A4E8">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掌握神经症的概念和共同特征</w:t>
            </w:r>
            <w:r>
              <w:rPr>
                <w:rFonts w:hint="eastAsia" w:ascii="宋体" w:hAnsi="宋体" w:cs="宋体"/>
                <w:kern w:val="0"/>
                <w:sz w:val="21"/>
                <w:szCs w:val="21"/>
                <w:lang w:eastAsia="zh-CN"/>
              </w:rPr>
              <w:t>。</w:t>
            </w:r>
          </w:p>
        </w:tc>
        <w:tc>
          <w:tcPr>
            <w:tcW w:w="3894" w:type="dxa"/>
            <w:tcBorders>
              <w:tl2br w:val="nil"/>
              <w:tr2bl w:val="nil"/>
            </w:tcBorders>
            <w:vAlign w:val="center"/>
          </w:tcPr>
          <w:p w14:paraId="79DBB39F">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具备识别神经症、抑郁症、精神分裂症、应激相关障碍、人格障碍的能力。</w:t>
            </w:r>
          </w:p>
          <w:p w14:paraId="16FB9392">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ascii="宋体" w:hAnsi="宋体" w:cs="宋体"/>
                <w:kern w:val="0"/>
                <w:sz w:val="21"/>
                <w:szCs w:val="21"/>
              </w:rPr>
            </w:pPr>
          </w:p>
        </w:tc>
      </w:tr>
      <w:tr w14:paraId="6B7F360B">
        <w:trPr>
          <w:trHeight w:val="567" w:hRule="atLeast"/>
          <w:jc w:val="center"/>
        </w:trPr>
        <w:tc>
          <w:tcPr>
            <w:tcW w:w="694" w:type="dxa"/>
            <w:tcBorders>
              <w:tl2br w:val="nil"/>
              <w:tr2bl w:val="nil"/>
            </w:tcBorders>
            <w:vAlign w:val="center"/>
          </w:tcPr>
          <w:p w14:paraId="5E62866C">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4</w:t>
            </w:r>
          </w:p>
        </w:tc>
        <w:tc>
          <w:tcPr>
            <w:tcW w:w="1267" w:type="dxa"/>
            <w:tcBorders>
              <w:tl2br w:val="nil"/>
              <w:tr2bl w:val="nil"/>
            </w:tcBorders>
            <w:vAlign w:val="center"/>
          </w:tcPr>
          <w:p w14:paraId="120B6FC7">
            <w:pPr>
              <w:keepNext w:val="0"/>
              <w:keepLines w:val="0"/>
              <w:pageBreakBefore w:val="0"/>
              <w:widowControl w:val="0"/>
              <w:kinsoku/>
              <w:wordWrap/>
              <w:overflowPunct/>
              <w:topLinePunct w:val="0"/>
              <w:autoSpaceDE/>
              <w:autoSpaceDN/>
              <w:bidi w:val="0"/>
              <w:adjustRightInd/>
              <w:snapToGrid/>
              <w:spacing w:line="288" w:lineRule="auto"/>
              <w:ind w:left="0" w:leftChars="0"/>
              <w:jc w:val="both"/>
              <w:textAlignment w:val="auto"/>
              <w:rPr>
                <w:rFonts w:ascii="宋体" w:hAnsi="宋体" w:cs="宋体"/>
                <w:color w:val="000000"/>
                <w:kern w:val="0"/>
                <w:sz w:val="21"/>
                <w:szCs w:val="21"/>
              </w:rPr>
            </w:pPr>
            <w:r>
              <w:rPr>
                <w:rFonts w:hint="eastAsia" w:ascii="宋体" w:hAnsi="宋体" w:cs="宋体"/>
                <w:kern w:val="0"/>
                <w:sz w:val="21"/>
                <w:szCs w:val="21"/>
              </w:rPr>
              <w:t>大学生自我意识与培养</w:t>
            </w:r>
          </w:p>
        </w:tc>
        <w:tc>
          <w:tcPr>
            <w:tcW w:w="3783" w:type="dxa"/>
            <w:tcBorders>
              <w:tl2br w:val="nil"/>
              <w:tr2bl w:val="nil"/>
            </w:tcBorders>
            <w:vAlign w:val="center"/>
          </w:tcPr>
          <w:p w14:paraId="13DB036F">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理解自我意识的内涵和结构。</w:t>
            </w:r>
          </w:p>
          <w:p w14:paraId="04F01A64">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明晰自我意识中常见的问题。</w:t>
            </w:r>
          </w:p>
        </w:tc>
        <w:tc>
          <w:tcPr>
            <w:tcW w:w="3894" w:type="dxa"/>
            <w:tcBorders>
              <w:tl2br w:val="nil"/>
              <w:tr2bl w:val="nil"/>
            </w:tcBorders>
            <w:vAlign w:val="center"/>
          </w:tcPr>
          <w:p w14:paraId="19BD18CA">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敢于表达自我，明晰自我形象。</w:t>
            </w:r>
          </w:p>
          <w:p w14:paraId="19D100B8">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懂得扬长避短，学会悦纳自我。</w:t>
            </w:r>
          </w:p>
        </w:tc>
      </w:tr>
      <w:tr w14:paraId="61BE1EC7">
        <w:trPr>
          <w:trHeight w:val="567" w:hRule="atLeast"/>
          <w:jc w:val="center"/>
        </w:trPr>
        <w:tc>
          <w:tcPr>
            <w:tcW w:w="694" w:type="dxa"/>
            <w:tcBorders>
              <w:tl2br w:val="nil"/>
              <w:tr2bl w:val="nil"/>
            </w:tcBorders>
            <w:vAlign w:val="center"/>
          </w:tcPr>
          <w:p w14:paraId="680C47A4">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5</w:t>
            </w:r>
          </w:p>
        </w:tc>
        <w:tc>
          <w:tcPr>
            <w:tcW w:w="1267" w:type="dxa"/>
            <w:tcBorders>
              <w:tl2br w:val="nil"/>
              <w:tr2bl w:val="nil"/>
            </w:tcBorders>
            <w:vAlign w:val="center"/>
          </w:tcPr>
          <w:p w14:paraId="4341EA2E">
            <w:pPr>
              <w:keepNext w:val="0"/>
              <w:keepLines w:val="0"/>
              <w:pageBreakBefore w:val="0"/>
              <w:widowControl w:val="0"/>
              <w:kinsoku/>
              <w:wordWrap/>
              <w:overflowPunct/>
              <w:topLinePunct w:val="0"/>
              <w:autoSpaceDE/>
              <w:autoSpaceDN/>
              <w:bidi w:val="0"/>
              <w:adjustRightInd/>
              <w:snapToGrid/>
              <w:spacing w:line="288" w:lineRule="auto"/>
              <w:ind w:left="0" w:leftChars="0"/>
              <w:jc w:val="both"/>
              <w:textAlignment w:val="auto"/>
              <w:rPr>
                <w:rFonts w:ascii="宋体" w:hAnsi="宋体" w:cs="宋体"/>
                <w:kern w:val="0"/>
                <w:sz w:val="21"/>
                <w:szCs w:val="21"/>
              </w:rPr>
            </w:pPr>
            <w:r>
              <w:rPr>
                <w:rFonts w:hint="eastAsia" w:ascii="宋体" w:hAnsi="宋体" w:cs="宋体"/>
                <w:kern w:val="0"/>
                <w:sz w:val="21"/>
                <w:szCs w:val="21"/>
              </w:rPr>
              <w:t>大学生人格发展与培养</w:t>
            </w:r>
          </w:p>
        </w:tc>
        <w:tc>
          <w:tcPr>
            <w:tcW w:w="3783" w:type="dxa"/>
            <w:tcBorders>
              <w:tl2br w:val="nil"/>
              <w:tr2bl w:val="nil"/>
            </w:tcBorders>
            <w:vAlign w:val="center"/>
          </w:tcPr>
          <w:p w14:paraId="4D302AD3">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color w:val="333333"/>
                <w:kern w:val="0"/>
                <w:sz w:val="21"/>
                <w:szCs w:val="21"/>
              </w:rPr>
            </w:pPr>
            <w:r>
              <w:rPr>
                <w:rFonts w:hint="eastAsia" w:ascii="宋体" w:hAnsi="宋体" w:cs="宋体"/>
                <w:kern w:val="0"/>
                <w:sz w:val="21"/>
                <w:szCs w:val="21"/>
              </w:rPr>
              <w:t>了解塑造健康人格的途径和方法。</w:t>
            </w:r>
          </w:p>
          <w:p w14:paraId="070D014B">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color w:val="333333"/>
                <w:kern w:val="0"/>
                <w:sz w:val="21"/>
                <w:szCs w:val="21"/>
              </w:rPr>
            </w:pPr>
            <w:r>
              <w:rPr>
                <w:rFonts w:hint="eastAsia" w:ascii="宋体" w:hAnsi="宋体" w:eastAsia="宋体" w:cs="宋体"/>
                <w:spacing w:val="20"/>
                <w:kern w:val="0"/>
                <w:sz w:val="21"/>
                <w:szCs w:val="21"/>
              </w:rPr>
              <w:t>熟悉大学生常见人格偏差特征及调适。</w:t>
            </w:r>
          </w:p>
        </w:tc>
        <w:tc>
          <w:tcPr>
            <w:tcW w:w="3894" w:type="dxa"/>
            <w:tcBorders>
              <w:tl2br w:val="nil"/>
              <w:tr2bl w:val="nil"/>
            </w:tcBorders>
            <w:vAlign w:val="center"/>
          </w:tcPr>
          <w:p w14:paraId="4C11A609">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hint="eastAsia" w:ascii="宋体" w:hAnsi="宋体" w:eastAsia="宋体" w:cs="宋体"/>
                <w:spacing w:val="20"/>
                <w:kern w:val="0"/>
                <w:sz w:val="21"/>
                <w:szCs w:val="21"/>
              </w:rPr>
            </w:pPr>
            <w:r>
              <w:rPr>
                <w:rFonts w:hint="eastAsia" w:ascii="宋体" w:hAnsi="宋体" w:eastAsia="宋体" w:cs="宋体"/>
                <w:spacing w:val="20"/>
                <w:kern w:val="0"/>
                <w:sz w:val="21"/>
                <w:szCs w:val="21"/>
              </w:rPr>
              <w:t>学会觉察大学生常见的人格发展缺陷。</w:t>
            </w:r>
          </w:p>
          <w:p w14:paraId="4E21BD79">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掌握大学生人格完善的途径与方法。</w:t>
            </w:r>
          </w:p>
        </w:tc>
      </w:tr>
      <w:tr w14:paraId="143FBF61">
        <w:trPr>
          <w:trHeight w:val="567" w:hRule="atLeast"/>
          <w:jc w:val="center"/>
        </w:trPr>
        <w:tc>
          <w:tcPr>
            <w:tcW w:w="694" w:type="dxa"/>
            <w:tcBorders>
              <w:tl2br w:val="nil"/>
              <w:tr2bl w:val="nil"/>
            </w:tcBorders>
            <w:vAlign w:val="center"/>
          </w:tcPr>
          <w:p w14:paraId="0449F770">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6</w:t>
            </w:r>
          </w:p>
        </w:tc>
        <w:tc>
          <w:tcPr>
            <w:tcW w:w="1267" w:type="dxa"/>
            <w:tcBorders>
              <w:tl2br w:val="nil"/>
              <w:tr2bl w:val="nil"/>
            </w:tcBorders>
            <w:vAlign w:val="center"/>
          </w:tcPr>
          <w:p w14:paraId="11C2617C">
            <w:pPr>
              <w:keepNext w:val="0"/>
              <w:keepLines w:val="0"/>
              <w:pageBreakBefore w:val="0"/>
              <w:widowControl w:val="0"/>
              <w:kinsoku/>
              <w:wordWrap/>
              <w:overflowPunct/>
              <w:topLinePunct w:val="0"/>
              <w:autoSpaceDE/>
              <w:autoSpaceDN/>
              <w:bidi w:val="0"/>
              <w:adjustRightInd/>
              <w:snapToGrid/>
              <w:spacing w:line="288" w:lineRule="auto"/>
              <w:ind w:left="0" w:leftChars="0"/>
              <w:jc w:val="both"/>
              <w:textAlignment w:val="auto"/>
              <w:rPr>
                <w:rFonts w:ascii="宋体" w:hAnsi="宋体" w:cs="宋体"/>
                <w:kern w:val="0"/>
                <w:sz w:val="21"/>
                <w:szCs w:val="21"/>
              </w:rPr>
            </w:pPr>
            <w:r>
              <w:rPr>
                <w:rFonts w:hint="eastAsia" w:ascii="宋体" w:hAnsi="宋体" w:cs="宋体"/>
                <w:kern w:val="0"/>
                <w:sz w:val="21"/>
                <w:szCs w:val="21"/>
              </w:rPr>
              <w:t>大学生职业生涯规划与择业心理</w:t>
            </w:r>
          </w:p>
        </w:tc>
        <w:tc>
          <w:tcPr>
            <w:tcW w:w="3783" w:type="dxa"/>
            <w:tcBorders>
              <w:tl2br w:val="nil"/>
              <w:tr2bl w:val="nil"/>
            </w:tcBorders>
            <w:vAlign w:val="center"/>
          </w:tcPr>
          <w:p w14:paraId="0FA19D1C">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color w:val="333333"/>
                <w:kern w:val="0"/>
                <w:sz w:val="21"/>
                <w:szCs w:val="21"/>
              </w:rPr>
            </w:pPr>
            <w:r>
              <w:rPr>
                <w:rFonts w:hint="eastAsia" w:ascii="宋体" w:hAnsi="宋体" w:cs="宋体"/>
                <w:kern w:val="0"/>
                <w:sz w:val="21"/>
                <w:szCs w:val="21"/>
              </w:rPr>
              <w:t>学会并积极给自己的职业生涯做出最优的规划，学会如何去应对职场中可能出现的事件。</w:t>
            </w:r>
          </w:p>
        </w:tc>
        <w:tc>
          <w:tcPr>
            <w:tcW w:w="3894" w:type="dxa"/>
            <w:tcBorders>
              <w:tl2br w:val="nil"/>
              <w:tr2bl w:val="nil"/>
            </w:tcBorders>
            <w:vAlign w:val="center"/>
          </w:tcPr>
          <w:p w14:paraId="064E8E6E">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从自我认知层面上找出自身的优势与劣势，不断提升自身能力，提高适应社会职场的能力。</w:t>
            </w:r>
          </w:p>
        </w:tc>
      </w:tr>
      <w:tr w14:paraId="170B53CF">
        <w:trPr>
          <w:trHeight w:val="567" w:hRule="atLeast"/>
          <w:jc w:val="center"/>
        </w:trPr>
        <w:tc>
          <w:tcPr>
            <w:tcW w:w="694" w:type="dxa"/>
            <w:tcBorders>
              <w:tl2br w:val="nil"/>
              <w:tr2bl w:val="nil"/>
            </w:tcBorders>
            <w:vAlign w:val="center"/>
          </w:tcPr>
          <w:p w14:paraId="134B8340">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7</w:t>
            </w:r>
          </w:p>
        </w:tc>
        <w:tc>
          <w:tcPr>
            <w:tcW w:w="1267" w:type="dxa"/>
            <w:tcBorders>
              <w:tl2br w:val="nil"/>
              <w:tr2bl w:val="nil"/>
            </w:tcBorders>
            <w:vAlign w:val="center"/>
          </w:tcPr>
          <w:p w14:paraId="09468FF3">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ascii="宋体" w:hAnsi="宋体" w:cs="宋体"/>
                <w:kern w:val="0"/>
                <w:sz w:val="21"/>
                <w:szCs w:val="21"/>
              </w:rPr>
            </w:pPr>
            <w:r>
              <w:rPr>
                <w:rFonts w:hint="eastAsia" w:ascii="宋体" w:hAnsi="宋体" w:cs="宋体"/>
                <w:kern w:val="0"/>
                <w:sz w:val="21"/>
                <w:szCs w:val="21"/>
              </w:rPr>
              <w:t>大学生学习心理与创造性思维培养</w:t>
            </w:r>
          </w:p>
        </w:tc>
        <w:tc>
          <w:tcPr>
            <w:tcW w:w="3783" w:type="dxa"/>
            <w:tcBorders>
              <w:tl2br w:val="nil"/>
              <w:tr2bl w:val="nil"/>
            </w:tcBorders>
            <w:vAlign w:val="center"/>
          </w:tcPr>
          <w:p w14:paraId="142C3F0A">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了解大学生学习特点。</w:t>
            </w:r>
          </w:p>
          <w:p w14:paraId="7D54A231">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color w:val="333333"/>
                <w:kern w:val="0"/>
                <w:sz w:val="21"/>
                <w:szCs w:val="21"/>
              </w:rPr>
            </w:pPr>
            <w:r>
              <w:rPr>
                <w:rFonts w:hint="eastAsia" w:ascii="宋体" w:hAnsi="宋体" w:cs="宋体"/>
                <w:kern w:val="0"/>
                <w:sz w:val="21"/>
                <w:szCs w:val="21"/>
              </w:rPr>
              <w:t>了解影响学习的非智力因素。</w:t>
            </w:r>
          </w:p>
          <w:p w14:paraId="7E8A0BEA">
            <w:pPr>
              <w:keepNext w:val="0"/>
              <w:keepLines w:val="0"/>
              <w:pageBreakBefore w:val="0"/>
              <w:widowControl w:val="0"/>
              <w:numPr>
                <w:ilvl w:val="0"/>
                <w:numId w:val="0"/>
              </w:numPr>
              <w:tabs>
                <w:tab w:val="left" w:pos="252"/>
              </w:tabs>
              <w:kinsoku/>
              <w:wordWrap/>
              <w:overflowPunct/>
              <w:topLinePunct w:val="0"/>
              <w:autoSpaceDE/>
              <w:autoSpaceDN/>
              <w:bidi w:val="0"/>
              <w:adjustRightInd/>
              <w:snapToGrid/>
              <w:spacing w:line="288" w:lineRule="auto"/>
              <w:ind w:left="0" w:leftChars="0"/>
              <w:textAlignment w:val="auto"/>
              <w:rPr>
                <w:rFonts w:ascii="宋体" w:hAnsi="宋体" w:cs="宋体"/>
                <w:color w:val="333333"/>
                <w:kern w:val="0"/>
                <w:sz w:val="21"/>
                <w:szCs w:val="21"/>
              </w:rPr>
            </w:pPr>
          </w:p>
        </w:tc>
        <w:tc>
          <w:tcPr>
            <w:tcW w:w="3894" w:type="dxa"/>
            <w:tcBorders>
              <w:tl2br w:val="nil"/>
              <w:tr2bl w:val="nil"/>
            </w:tcBorders>
            <w:vAlign w:val="center"/>
          </w:tcPr>
          <w:p w14:paraId="74ADD197">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eastAsia="宋体" w:cs="宋体"/>
                <w:spacing w:val="20"/>
                <w:kern w:val="0"/>
                <w:sz w:val="21"/>
                <w:szCs w:val="21"/>
              </w:rPr>
              <w:t>掌握出现学习心理障碍时的调适方法。</w:t>
            </w:r>
          </w:p>
        </w:tc>
      </w:tr>
      <w:tr w14:paraId="4B0443AA">
        <w:trPr>
          <w:trHeight w:val="567" w:hRule="atLeast"/>
          <w:jc w:val="center"/>
        </w:trPr>
        <w:tc>
          <w:tcPr>
            <w:tcW w:w="694" w:type="dxa"/>
            <w:tcBorders>
              <w:tl2br w:val="nil"/>
              <w:tr2bl w:val="nil"/>
            </w:tcBorders>
            <w:vAlign w:val="center"/>
          </w:tcPr>
          <w:p w14:paraId="7E14898B">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8</w:t>
            </w:r>
          </w:p>
        </w:tc>
        <w:tc>
          <w:tcPr>
            <w:tcW w:w="1267" w:type="dxa"/>
            <w:tcBorders>
              <w:tl2br w:val="nil"/>
              <w:tr2bl w:val="nil"/>
            </w:tcBorders>
            <w:vAlign w:val="center"/>
          </w:tcPr>
          <w:p w14:paraId="1974465B">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ascii="宋体" w:hAnsi="宋体" w:cs="宋体"/>
                <w:kern w:val="0"/>
                <w:sz w:val="21"/>
                <w:szCs w:val="21"/>
              </w:rPr>
            </w:pPr>
            <w:r>
              <w:rPr>
                <w:rFonts w:hint="eastAsia" w:ascii="宋体" w:hAnsi="宋体" w:cs="宋体"/>
                <w:kern w:val="0"/>
                <w:sz w:val="21"/>
                <w:szCs w:val="21"/>
              </w:rPr>
              <w:t>大学生情绪管理</w:t>
            </w:r>
          </w:p>
        </w:tc>
        <w:tc>
          <w:tcPr>
            <w:tcW w:w="3783" w:type="dxa"/>
            <w:tcBorders>
              <w:tl2br w:val="nil"/>
              <w:tr2bl w:val="nil"/>
            </w:tcBorders>
            <w:vAlign w:val="center"/>
          </w:tcPr>
          <w:p w14:paraId="11C40E3F">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了解情绪对学习、生活、人际交往、认知行为和身心健康的影响。</w:t>
            </w:r>
          </w:p>
          <w:p w14:paraId="68AFF605">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color w:val="333333"/>
                <w:kern w:val="0"/>
                <w:sz w:val="21"/>
                <w:szCs w:val="21"/>
              </w:rPr>
            </w:pPr>
            <w:r>
              <w:rPr>
                <w:rFonts w:hint="eastAsia" w:ascii="宋体" w:hAnsi="宋体" w:cs="宋体"/>
                <w:kern w:val="0"/>
                <w:sz w:val="21"/>
                <w:szCs w:val="21"/>
              </w:rPr>
              <w:t>了解大学生情绪管理的重要性。</w:t>
            </w:r>
          </w:p>
        </w:tc>
        <w:tc>
          <w:tcPr>
            <w:tcW w:w="3894" w:type="dxa"/>
            <w:tcBorders>
              <w:tl2br w:val="nil"/>
              <w:tr2bl w:val="nil"/>
            </w:tcBorders>
            <w:vAlign w:val="center"/>
          </w:tcPr>
          <w:p w14:paraId="0714F529">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熟练掌握情绪健康标准并以此标准控制不良情绪。</w:t>
            </w:r>
          </w:p>
        </w:tc>
      </w:tr>
      <w:tr w14:paraId="174D6EE5">
        <w:trPr>
          <w:trHeight w:val="567" w:hRule="atLeast"/>
          <w:jc w:val="center"/>
        </w:trPr>
        <w:tc>
          <w:tcPr>
            <w:tcW w:w="694" w:type="dxa"/>
            <w:tcBorders>
              <w:tl2br w:val="nil"/>
              <w:tr2bl w:val="nil"/>
            </w:tcBorders>
            <w:vAlign w:val="center"/>
          </w:tcPr>
          <w:p w14:paraId="4A1561A2">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ascii="宋体" w:hAnsi="宋体" w:cs="宋体"/>
                <w:kern w:val="0"/>
                <w:sz w:val="21"/>
                <w:szCs w:val="21"/>
              </w:rPr>
            </w:pPr>
            <w:r>
              <w:rPr>
                <w:rFonts w:hint="eastAsia" w:ascii="宋体" w:hAnsi="宋体" w:cs="宋体"/>
                <w:kern w:val="0"/>
                <w:sz w:val="21"/>
                <w:szCs w:val="21"/>
              </w:rPr>
              <w:t>9</w:t>
            </w:r>
          </w:p>
        </w:tc>
        <w:tc>
          <w:tcPr>
            <w:tcW w:w="1267" w:type="dxa"/>
            <w:tcBorders>
              <w:tl2br w:val="nil"/>
              <w:tr2bl w:val="nil"/>
            </w:tcBorders>
            <w:vAlign w:val="center"/>
          </w:tcPr>
          <w:p w14:paraId="372AF405">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ascii="宋体" w:hAnsi="宋体" w:cs="宋体"/>
                <w:color w:val="000000"/>
                <w:kern w:val="0"/>
                <w:sz w:val="21"/>
                <w:szCs w:val="21"/>
              </w:rPr>
            </w:pPr>
            <w:r>
              <w:rPr>
                <w:rFonts w:hint="eastAsia" w:ascii="宋体" w:hAnsi="宋体" w:cs="宋体"/>
                <w:kern w:val="0"/>
                <w:sz w:val="21"/>
                <w:szCs w:val="21"/>
              </w:rPr>
              <w:t>大学生人际交往</w:t>
            </w:r>
          </w:p>
        </w:tc>
        <w:tc>
          <w:tcPr>
            <w:tcW w:w="3783" w:type="dxa"/>
            <w:tcBorders>
              <w:tl2br w:val="nil"/>
              <w:tr2bl w:val="nil"/>
            </w:tcBorders>
            <w:vAlign w:val="center"/>
          </w:tcPr>
          <w:p w14:paraId="2ABB77AB">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eastAsia="宋体" w:cs="宋体"/>
                <w:kern w:val="0"/>
                <w:sz w:val="21"/>
                <w:szCs w:val="21"/>
                <w:lang w:eastAsia="zh-CN"/>
              </w:rPr>
            </w:pPr>
            <w:r>
              <w:rPr>
                <w:rFonts w:hint="eastAsia" w:ascii="宋体" w:hAnsi="宋体" w:cs="宋体"/>
                <w:kern w:val="0"/>
                <w:sz w:val="21"/>
                <w:szCs w:val="21"/>
              </w:rPr>
              <w:t>●了解大学生人际交往的特点。</w:t>
            </w:r>
          </w:p>
          <w:p w14:paraId="7BF4876C">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●了解人际交往障碍产生的一般原因。</w:t>
            </w:r>
          </w:p>
        </w:tc>
        <w:tc>
          <w:tcPr>
            <w:tcW w:w="3894" w:type="dxa"/>
            <w:tcBorders>
              <w:tl2br w:val="nil"/>
              <w:tr2bl w:val="nil"/>
            </w:tcBorders>
            <w:vAlign w:val="center"/>
          </w:tcPr>
          <w:p w14:paraId="13957750">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ascii="宋体" w:hAnsi="宋体" w:cs="宋体"/>
                <w:kern w:val="0"/>
                <w:sz w:val="21"/>
                <w:szCs w:val="21"/>
              </w:rPr>
            </w:pPr>
            <w:r>
              <w:rPr>
                <w:rFonts w:hint="eastAsia" w:ascii="宋体" w:hAnsi="宋体" w:cs="宋体"/>
                <w:kern w:val="0"/>
                <w:sz w:val="21"/>
                <w:szCs w:val="21"/>
              </w:rPr>
              <w:t>掌握人际交往的一般原则和技巧，并能灵活应用到生活、工作当中。</w:t>
            </w:r>
          </w:p>
        </w:tc>
      </w:tr>
      <w:tr w14:paraId="2824A002">
        <w:trPr>
          <w:trHeight w:val="567" w:hRule="atLeast"/>
          <w:jc w:val="center"/>
        </w:trPr>
        <w:tc>
          <w:tcPr>
            <w:tcW w:w="694" w:type="dxa"/>
            <w:tcBorders>
              <w:tl2br w:val="nil"/>
              <w:tr2bl w:val="nil"/>
            </w:tcBorders>
            <w:vAlign w:val="center"/>
          </w:tcPr>
          <w:p w14:paraId="0C64A2DC">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hint="default" w:ascii="宋体" w:hAnsi="宋体" w:eastAsia="宋体" w:cs="宋体"/>
                <w:kern w:val="0"/>
                <w:sz w:val="21"/>
                <w:szCs w:val="21"/>
                <w:lang w:val="en-US" w:eastAsia="zh-CN"/>
              </w:rPr>
            </w:pPr>
            <w:r>
              <w:rPr>
                <w:rFonts w:hint="eastAsia" w:ascii="宋体" w:hAnsi="宋体" w:cs="宋体"/>
                <w:kern w:val="0"/>
                <w:sz w:val="21"/>
                <w:szCs w:val="21"/>
                <w:lang w:val="en-US" w:eastAsia="zh-CN"/>
              </w:rPr>
              <w:t>10</w:t>
            </w:r>
          </w:p>
        </w:tc>
        <w:tc>
          <w:tcPr>
            <w:tcW w:w="1267" w:type="dxa"/>
            <w:tcBorders>
              <w:tl2br w:val="nil"/>
              <w:tr2bl w:val="nil"/>
            </w:tcBorders>
            <w:vAlign w:val="center"/>
          </w:tcPr>
          <w:p w14:paraId="61806A1E">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大学生恋爱与性心理问题管理</w:t>
            </w:r>
          </w:p>
        </w:tc>
        <w:tc>
          <w:tcPr>
            <w:tcW w:w="3783" w:type="dxa"/>
            <w:tcBorders>
              <w:tl2br w:val="nil"/>
              <w:tr2bl w:val="nil"/>
            </w:tcBorders>
            <w:vAlign w:val="center"/>
          </w:tcPr>
          <w:p w14:paraId="33B78742">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●了解什么是爱情及爱情的特征。</w:t>
            </w:r>
          </w:p>
        </w:tc>
        <w:tc>
          <w:tcPr>
            <w:tcW w:w="3894" w:type="dxa"/>
            <w:tcBorders>
              <w:tl2br w:val="nil"/>
              <w:tr2bl w:val="nil"/>
            </w:tcBorders>
            <w:vAlign w:val="center"/>
          </w:tcPr>
          <w:p w14:paraId="2194C35C">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hint="eastAsia" w:ascii="宋体" w:hAnsi="宋体" w:cs="宋体"/>
                <w:kern w:val="0"/>
                <w:sz w:val="21"/>
                <w:szCs w:val="21"/>
              </w:rPr>
            </w:pPr>
            <w:r>
              <w:rPr>
                <w:rFonts w:hint="eastAsia" w:ascii="宋体" w:hAnsi="宋体" w:cs="宋体"/>
                <w:spacing w:val="23"/>
                <w:kern w:val="0"/>
                <w:sz w:val="21"/>
                <w:szCs w:val="21"/>
              </w:rPr>
              <w:t>提高恋爱中常见的心理问题的调适能力。</w:t>
            </w:r>
          </w:p>
        </w:tc>
      </w:tr>
      <w:tr w14:paraId="00E4C6A7">
        <w:trPr>
          <w:trHeight w:val="567" w:hRule="atLeast"/>
          <w:jc w:val="center"/>
        </w:trPr>
        <w:tc>
          <w:tcPr>
            <w:tcW w:w="694" w:type="dxa"/>
            <w:tcBorders>
              <w:tl2br w:val="nil"/>
              <w:tr2bl w:val="nil"/>
            </w:tcBorders>
            <w:vAlign w:val="center"/>
          </w:tcPr>
          <w:p w14:paraId="33381F3A">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hint="default" w:ascii="宋体" w:hAnsi="宋体" w:eastAsia="宋体" w:cs="宋体"/>
                <w:kern w:val="0"/>
                <w:sz w:val="21"/>
                <w:szCs w:val="21"/>
                <w:lang w:val="en-US" w:eastAsia="zh-CN"/>
              </w:rPr>
            </w:pPr>
            <w:r>
              <w:rPr>
                <w:rFonts w:hint="eastAsia" w:ascii="宋体" w:hAnsi="宋体" w:cs="宋体"/>
                <w:kern w:val="0"/>
                <w:sz w:val="21"/>
                <w:szCs w:val="21"/>
                <w:lang w:val="en-US" w:eastAsia="zh-CN"/>
              </w:rPr>
              <w:t>11</w:t>
            </w:r>
          </w:p>
        </w:tc>
        <w:tc>
          <w:tcPr>
            <w:tcW w:w="1267" w:type="dxa"/>
            <w:tcBorders>
              <w:tl2br w:val="nil"/>
              <w:tr2bl w:val="nil"/>
            </w:tcBorders>
            <w:vAlign w:val="center"/>
          </w:tcPr>
          <w:p w14:paraId="2A2812A8">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大学生压力管理与挫折应对</w:t>
            </w:r>
          </w:p>
        </w:tc>
        <w:tc>
          <w:tcPr>
            <w:tcW w:w="3783" w:type="dxa"/>
            <w:tcBorders>
              <w:tl2br w:val="nil"/>
              <w:tr2bl w:val="nil"/>
            </w:tcBorders>
            <w:vAlign w:val="center"/>
          </w:tcPr>
          <w:p w14:paraId="3CCFA86B">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●掌握挫折与压力的含义。</w:t>
            </w:r>
          </w:p>
          <w:p w14:paraId="422800D4">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●理解大学生挫折表现与压力现状。</w:t>
            </w:r>
          </w:p>
        </w:tc>
        <w:tc>
          <w:tcPr>
            <w:tcW w:w="3894" w:type="dxa"/>
            <w:tcBorders>
              <w:tl2br w:val="nil"/>
              <w:tr2bl w:val="nil"/>
            </w:tcBorders>
            <w:vAlign w:val="center"/>
          </w:tcPr>
          <w:p w14:paraId="4B00F991">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hint="eastAsia" w:ascii="宋体" w:hAnsi="宋体" w:cs="宋体"/>
                <w:kern w:val="0"/>
                <w:sz w:val="21"/>
                <w:szCs w:val="21"/>
              </w:rPr>
            </w:pPr>
            <w:r>
              <w:rPr>
                <w:rFonts w:hint="eastAsia" w:ascii="宋体" w:hAnsi="宋体" w:cs="宋体"/>
                <w:spacing w:val="20"/>
                <w:kern w:val="0"/>
                <w:sz w:val="21"/>
                <w:szCs w:val="21"/>
              </w:rPr>
              <w:t>培养学生认识和应对挫折与压力的能力。</w:t>
            </w:r>
          </w:p>
        </w:tc>
      </w:tr>
      <w:tr w14:paraId="60EA8C47">
        <w:trPr>
          <w:trHeight w:val="567" w:hRule="atLeast"/>
          <w:jc w:val="center"/>
        </w:trPr>
        <w:tc>
          <w:tcPr>
            <w:tcW w:w="694" w:type="dxa"/>
            <w:tcBorders>
              <w:tl2br w:val="nil"/>
              <w:tr2bl w:val="nil"/>
            </w:tcBorders>
            <w:vAlign w:val="center"/>
          </w:tcPr>
          <w:p w14:paraId="451C0086">
            <w:pPr>
              <w:keepNext w:val="0"/>
              <w:keepLines w:val="0"/>
              <w:pageBreakBefore w:val="0"/>
              <w:widowControl w:val="0"/>
              <w:kinsoku/>
              <w:wordWrap/>
              <w:overflowPunct/>
              <w:topLinePunct w:val="0"/>
              <w:autoSpaceDE/>
              <w:autoSpaceDN/>
              <w:bidi w:val="0"/>
              <w:adjustRightInd/>
              <w:snapToGrid/>
              <w:spacing w:line="288" w:lineRule="auto"/>
              <w:ind w:left="0" w:leftChars="0"/>
              <w:jc w:val="center"/>
              <w:textAlignment w:val="auto"/>
              <w:rPr>
                <w:rFonts w:hint="default" w:ascii="宋体" w:hAnsi="宋体" w:eastAsia="宋体" w:cs="宋体"/>
                <w:kern w:val="0"/>
                <w:sz w:val="21"/>
                <w:szCs w:val="21"/>
                <w:lang w:val="en-US" w:eastAsia="zh-CN"/>
              </w:rPr>
            </w:pPr>
            <w:r>
              <w:rPr>
                <w:rFonts w:hint="eastAsia" w:ascii="宋体" w:hAnsi="宋体" w:cs="宋体"/>
                <w:kern w:val="0"/>
                <w:sz w:val="21"/>
                <w:szCs w:val="21"/>
                <w:lang w:val="en-US" w:eastAsia="zh-CN"/>
              </w:rPr>
              <w:t>12</w:t>
            </w:r>
          </w:p>
        </w:tc>
        <w:tc>
          <w:tcPr>
            <w:tcW w:w="1267" w:type="dxa"/>
            <w:tcBorders>
              <w:tl2br w:val="nil"/>
              <w:tr2bl w:val="nil"/>
            </w:tcBorders>
            <w:vAlign w:val="center"/>
          </w:tcPr>
          <w:p w14:paraId="24F9644C">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大学生生命教育与心理危机应对</w:t>
            </w:r>
          </w:p>
        </w:tc>
        <w:tc>
          <w:tcPr>
            <w:tcW w:w="3783" w:type="dxa"/>
            <w:tcBorders>
              <w:tl2br w:val="nil"/>
              <w:tr2bl w:val="nil"/>
            </w:tcBorders>
            <w:vAlign w:val="center"/>
          </w:tcPr>
          <w:p w14:paraId="751F0C11">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●让学生明白生命的意义，珍爱生命。</w:t>
            </w:r>
          </w:p>
          <w:p w14:paraId="33F93730">
            <w:pPr>
              <w:keepNext w:val="0"/>
              <w:keepLines w:val="0"/>
              <w:pageBreakBefore w:val="0"/>
              <w:widowControl w:val="0"/>
              <w:kinsoku/>
              <w:wordWrap/>
              <w:overflowPunct/>
              <w:topLinePunct w:val="0"/>
              <w:autoSpaceDE/>
              <w:autoSpaceDN/>
              <w:bidi w:val="0"/>
              <w:adjustRightInd/>
              <w:snapToGrid/>
              <w:spacing w:line="288" w:lineRule="auto"/>
              <w:ind w:left="0" w:leftChars="0"/>
              <w:textAlignment w:val="auto"/>
              <w:rPr>
                <w:rFonts w:hint="eastAsia" w:ascii="宋体" w:hAnsi="宋体" w:cs="宋体"/>
                <w:kern w:val="0"/>
                <w:sz w:val="21"/>
                <w:szCs w:val="21"/>
              </w:rPr>
            </w:pPr>
            <w:r>
              <w:rPr>
                <w:rFonts w:hint="eastAsia" w:ascii="宋体" w:hAnsi="宋体" w:cs="宋体"/>
                <w:kern w:val="0"/>
                <w:sz w:val="21"/>
                <w:szCs w:val="21"/>
              </w:rPr>
              <w:t>●大学生学会并积极干预心理危机，保持心理健康。</w:t>
            </w:r>
          </w:p>
        </w:tc>
        <w:tc>
          <w:tcPr>
            <w:tcW w:w="3894" w:type="dxa"/>
            <w:tcBorders>
              <w:tl2br w:val="nil"/>
              <w:tr2bl w:val="nil"/>
            </w:tcBorders>
            <w:vAlign w:val="center"/>
          </w:tcPr>
          <w:p w14:paraId="1AB80113">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hint="eastAsia" w:ascii="宋体" w:hAnsi="宋体" w:cs="宋体"/>
                <w:kern w:val="0"/>
                <w:sz w:val="21"/>
                <w:szCs w:val="21"/>
              </w:rPr>
            </w:pPr>
            <w:r>
              <w:rPr>
                <w:rFonts w:hint="eastAsia" w:ascii="宋体" w:hAnsi="宋体" w:cs="宋体"/>
                <w:kern w:val="0"/>
                <w:sz w:val="21"/>
                <w:szCs w:val="21"/>
              </w:rPr>
              <w:t>提升受挫能力和情绪调节能力。</w:t>
            </w:r>
          </w:p>
          <w:p w14:paraId="52BE1878">
            <w:pPr>
              <w:keepNext w:val="0"/>
              <w:keepLines w:val="0"/>
              <w:pageBreakBefore w:val="0"/>
              <w:widowControl w:val="0"/>
              <w:numPr>
                <w:ilvl w:val="0"/>
                <w:numId w:val="1"/>
              </w:numPr>
              <w:tabs>
                <w:tab w:val="left" w:pos="252"/>
              </w:tabs>
              <w:kinsoku/>
              <w:wordWrap/>
              <w:overflowPunct/>
              <w:topLinePunct w:val="0"/>
              <w:autoSpaceDE/>
              <w:autoSpaceDN/>
              <w:bidi w:val="0"/>
              <w:adjustRightInd/>
              <w:snapToGrid/>
              <w:spacing w:line="288" w:lineRule="auto"/>
              <w:ind w:left="0" w:leftChars="0" w:firstLine="0"/>
              <w:textAlignment w:val="auto"/>
              <w:rPr>
                <w:rFonts w:hint="eastAsia" w:ascii="宋体" w:hAnsi="宋体" w:cs="宋体"/>
                <w:kern w:val="0"/>
                <w:sz w:val="21"/>
                <w:szCs w:val="21"/>
              </w:rPr>
            </w:pPr>
            <w:r>
              <w:rPr>
                <w:rFonts w:hint="eastAsia" w:ascii="宋体" w:hAnsi="宋体" w:cs="宋体"/>
                <w:kern w:val="0"/>
                <w:sz w:val="21"/>
                <w:szCs w:val="21"/>
              </w:rPr>
              <w:t>获得自我成长、自我认同的能力。</w:t>
            </w:r>
          </w:p>
        </w:tc>
      </w:tr>
    </w:tbl>
    <w:p w14:paraId="2962B863">
      <w:pPr>
        <w:keepNext w:val="0"/>
        <w:keepLines w:val="0"/>
        <w:pageBreakBefore w:val="0"/>
        <w:widowControl w:val="0"/>
        <w:kinsoku/>
        <w:wordWrap/>
        <w:overflowPunct/>
        <w:topLinePunct w:val="0"/>
        <w:autoSpaceDE/>
        <w:autoSpaceDN/>
        <w:bidi w:val="0"/>
        <w:adjustRightInd/>
        <w:snapToGrid/>
        <w:spacing w:line="240" w:lineRule="auto"/>
        <w:ind w:left="0" w:leftChars="0" w:firstLine="2523" w:firstLineChars="1200"/>
        <w:textAlignment w:val="auto"/>
        <w:rPr>
          <w:rFonts w:ascii="Times New Roman" w:hAnsi="Times New Roman"/>
          <w:b/>
          <w:bCs/>
          <w:kern w:val="44"/>
          <w:sz w:val="21"/>
          <w:szCs w:val="21"/>
        </w:rPr>
        <w:sectPr>
          <w:headerReference r:id="rId7" w:type="first"/>
          <w:footerReference r:id="rId9" w:type="first"/>
          <w:headerReference r:id="rId6" w:type="default"/>
          <w:footerReference r:id="rId8" w:type="default"/>
          <w:pgSz w:w="11906" w:h="16838"/>
          <w:pgMar w:top="567" w:right="567" w:bottom="567" w:left="567" w:header="567" w:footer="567" w:gutter="0"/>
          <w:pgBorders>
            <w:top w:val="none" w:sz="0" w:space="0"/>
            <w:left w:val="none" w:sz="0" w:space="0"/>
            <w:bottom w:val="none" w:sz="0" w:space="0"/>
            <w:right w:val="none" w:sz="0" w:space="0"/>
          </w:pgBorders>
          <w:cols w:space="720" w:num="1"/>
          <w:titlePg/>
          <w:docGrid w:type="lines" w:linePitch="312" w:charSpace="0"/>
        </w:sectPr>
      </w:pP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F0B" w:themeColor="accent2" w:themeShade="80"/>
          <w:sz w:val="32"/>
          <w:szCs w:val="32"/>
        </w:rPr>
      </w:pPr>
      <w:r>
        <w:rPr>
          <w:rFonts w:hint="eastAsia" w:ascii="黑体" w:hAnsi="黑体" w:eastAsia="黑体" w:cs="黑体"/>
          <w:b/>
          <w:bCs/>
          <w:color w:val="843F0B" w:themeColor="accent2" w:themeShade="80"/>
          <w:sz w:val="32"/>
          <w:szCs w:val="32"/>
        </w:rPr>
        <w:t>第</w:t>
      </w:r>
      <w:r>
        <w:rPr>
          <w:rFonts w:hint="eastAsia" w:ascii="黑体" w:hAnsi="黑体" w:eastAsia="黑体" w:cs="黑体"/>
          <w:b/>
          <w:bCs/>
          <w:color w:val="843F0B" w:themeColor="accent2" w:themeShade="80"/>
          <w:sz w:val="32"/>
          <w:szCs w:val="32"/>
          <w:lang w:val="en-US" w:eastAsia="zh-CN"/>
        </w:rPr>
        <w:t>6</w:t>
      </w:r>
      <w:r>
        <w:rPr>
          <w:rFonts w:hint="eastAsia" w:ascii="黑体" w:hAnsi="黑体" w:eastAsia="黑体" w:cs="黑体"/>
          <w:b/>
          <w:bCs/>
          <w:color w:val="843F0B" w:themeColor="accent2" w:themeShade="80"/>
          <w:sz w:val="32"/>
          <w:szCs w:val="32"/>
        </w:rPr>
        <w:t>课  大学生职业生涯规划与择业心理</w:t>
      </w:r>
    </w:p>
    <w:tbl>
      <w:tblPr>
        <w:tblStyle w:val="6"/>
        <w:tblW w:w="10205" w:type="dxa"/>
        <w:jc w:val="center"/>
        <w:tblBorders>
          <w:top w:val="double" w:color="833F0A" w:themeColor="accent2" w:themeShade="7F" w:sz="4" w:space="0"/>
          <w:left w:val="double" w:color="833F0A" w:themeColor="accent2" w:themeShade="7F" w:sz="4" w:space="0"/>
          <w:bottom w:val="double" w:color="833F0A" w:themeColor="accent2" w:themeShade="7F" w:sz="4" w:space="0"/>
          <w:right w:val="double" w:color="833F0A" w:themeColor="accent2" w:themeShade="7F" w:sz="4" w:space="0"/>
          <w:insideH w:val="single" w:color="833F0A" w:themeColor="accent2" w:themeShade="7F" w:sz="4" w:space="0"/>
          <w:insideV w:val="single" w:color="833F0A" w:themeColor="accent2" w:themeShade="7F" w:sz="4" w:space="0"/>
        </w:tblBorders>
        <w:tblLayout w:type="fixed"/>
        <w:tblCellMar>
          <w:top w:w="0" w:type="dxa"/>
          <w:left w:w="108" w:type="dxa"/>
          <w:bottom w:w="0" w:type="dxa"/>
          <w:right w:w="108" w:type="dxa"/>
        </w:tblCellMar>
      </w:tblPr>
      <w:tblGrid>
        <w:gridCol w:w="1538"/>
        <w:gridCol w:w="7050"/>
        <w:gridCol w:w="1617"/>
      </w:tblGrid>
      <w:tr w14:paraId="6D9CDE80">
        <w:trPr>
          <w:trHeight w:val="567" w:hRule="atLeast"/>
          <w:jc w:val="center"/>
        </w:trPr>
        <w:tc>
          <w:tcPr>
            <w:tcW w:w="1538" w:type="dxa"/>
            <w:tcBorders>
              <w:bottom w:val="dashSmallGap" w:color="ACD78D" w:themeColor="accent4" w:themeTint="99" w:sz="4" w:space="0"/>
              <w:right w:val="dashSmallGap" w:color="ACD78D" w:themeColor="accent4" w:themeTint="99" w:sz="4" w:space="0"/>
            </w:tcBorders>
            <w:shd w:val="clear" w:color="auto" w:fill="E3F2D9"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3B5F21" w:themeColor="accent4" w:themeShade="80"/>
                <w:szCs w:val="20"/>
              </w:rPr>
            </w:pPr>
            <w:r>
              <w:rPr>
                <w:rFonts w:hint="eastAsia" w:ascii="黑体" w:hAnsi="黑体" w:eastAsia="黑体" w:cs="黑体"/>
                <w:b/>
                <w:bCs w:val="0"/>
                <w:color w:val="588E32" w:themeColor="accent4" w:themeShade="BF"/>
                <w:szCs w:val="20"/>
                <w14:textFill>
                  <w14:solidFill>
                    <w14:schemeClr w14:val="accent4">
                      <w14:lumMod w14:val="75000"/>
                      <w14:alpha w14:val="0"/>
                    </w14:schemeClr>
                  </w14:solidFill>
                </w14:textFill>
              </w:rPr>
              <w:t>课  题</w:t>
            </w:r>
          </w:p>
        </w:tc>
        <w:tc>
          <w:tcPr>
            <w:tcW w:w="8667" w:type="dxa"/>
            <w:gridSpan w:val="2"/>
            <w:tcBorders>
              <w:left w:val="dashSmallGap" w:color="ACD78D" w:themeColor="accent4" w:themeTint="99" w:sz="4" w:space="0"/>
              <w:bottom w:val="dashSmallGap" w:color="ACD78D"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Times New Roman" w:hAnsi="宋体"/>
                <w:szCs w:val="20"/>
              </w:rPr>
              <w:t>大学生职业生涯规划与择业心理</w:t>
            </w:r>
          </w:p>
        </w:tc>
      </w:tr>
      <w:tr w14:paraId="0174A0D2">
        <w:trPr>
          <w:trHeight w:val="567" w:hRule="atLeast"/>
          <w:jc w:val="center"/>
        </w:trPr>
        <w:tc>
          <w:tcPr>
            <w:tcW w:w="1538" w:type="dxa"/>
            <w:tcBorders>
              <w:top w:val="dashSmallGap" w:color="ACD78D" w:themeColor="accent4" w:themeTint="99" w:sz="4" w:space="0"/>
              <w:bottom w:val="dashSmallGap" w:color="EF939E" w:themeColor="accent6" w:themeTint="99" w:sz="4" w:space="0"/>
              <w:right w:val="dashSmallGap" w:color="ACD78D" w:themeColor="accent4" w:themeTint="99" w:sz="4" w:space="0"/>
            </w:tcBorders>
            <w:shd w:val="clear" w:color="auto" w:fill="E3F2D9"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3B5F21" w:themeColor="accent4" w:themeShade="80"/>
                <w:szCs w:val="20"/>
              </w:rPr>
            </w:pPr>
            <w:r>
              <w:rPr>
                <w:rFonts w:hint="eastAsia" w:ascii="黑体" w:hAnsi="黑体" w:eastAsia="黑体" w:cs="黑体"/>
                <w:b/>
                <w:bCs w:val="0"/>
                <w:color w:val="588E32" w:themeColor="accent4" w:themeShade="BF"/>
                <w:szCs w:val="20"/>
                <w14:textFill>
                  <w14:solidFill>
                    <w14:schemeClr w14:val="accent4">
                      <w14:lumMod w14:val="75000"/>
                      <w14:alpha w14:val="0"/>
                    </w14:schemeClr>
                  </w14:solidFill>
                </w14:textFill>
              </w:rPr>
              <w:t>课  时</w:t>
            </w:r>
          </w:p>
        </w:tc>
        <w:tc>
          <w:tcPr>
            <w:tcW w:w="8667" w:type="dxa"/>
            <w:gridSpan w:val="2"/>
            <w:tcBorders>
              <w:top w:val="dashSmallGap" w:color="ACD78D" w:themeColor="accent4" w:themeTint="99" w:sz="4" w:space="0"/>
              <w:left w:val="dashSmallGap" w:color="ACD78D" w:themeColor="accent4" w:themeTint="99" w:sz="4" w:space="0"/>
              <w:bottom w:val="dashSmallGap" w:color="EF939E"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Times New Roman" w:hAnsi="Times New Roman"/>
                <w:szCs w:val="20"/>
                <w:lang w:val="en-US" w:eastAsia="zh-CN"/>
              </w:rPr>
              <w:t>3</w:t>
            </w:r>
            <w:r>
              <w:rPr>
                <w:rFonts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64ED9BFE">
        <w:trPr>
          <w:trHeight w:val="567" w:hRule="atLeast"/>
          <w:jc w:val="center"/>
        </w:trPr>
        <w:tc>
          <w:tcPr>
            <w:tcW w:w="1538" w:type="dxa"/>
            <w:tcBorders>
              <w:top w:val="dashSmallGap" w:color="EF939E" w:themeColor="accent6" w:themeTint="99" w:sz="4" w:space="0"/>
              <w:bottom w:val="dashSmallGap" w:color="EF939E" w:themeColor="accent6" w:themeTint="99" w:sz="4" w:space="0"/>
              <w:right w:val="dashSmallGap" w:color="EF939E" w:themeColor="accent6" w:themeTint="99" w:sz="4" w:space="0"/>
            </w:tcBorders>
            <w:shd w:val="clear" w:color="auto" w:fill="F4B7BE"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851321" w:themeColor="accent6" w:themeShade="80"/>
                <w:szCs w:val="20"/>
              </w:rPr>
              <w:t>教学目标</w:t>
            </w:r>
          </w:p>
        </w:tc>
        <w:tc>
          <w:tcPr>
            <w:tcW w:w="8667" w:type="dxa"/>
            <w:gridSpan w:val="2"/>
            <w:tcBorders>
              <w:top w:val="dashSmallGap" w:color="EF939E" w:themeColor="accent6" w:themeTint="99" w:sz="4" w:space="0"/>
              <w:left w:val="dashSmallGap" w:color="EF939E" w:themeColor="accent6" w:themeTint="99" w:sz="4" w:space="0"/>
              <w:bottom w:val="dashSmallGap" w:color="EF939E" w:themeColor="accent6" w:themeTint="99" w:sz="4" w:space="0"/>
            </w:tcBorders>
            <w:shd w:val="clear" w:color="auto" w:fill="F8FFF5"/>
            <w:vAlign w:val="center"/>
          </w:tcPr>
          <w:p w14:paraId="3947DA50">
            <w:pPr>
              <w:spacing w:line="360" w:lineRule="auto"/>
              <w:ind w:hanging="8"/>
              <w:rPr>
                <w:b/>
              </w:rPr>
            </w:pPr>
            <w:r>
              <w:rPr>
                <w:rFonts w:hAnsi="宋体"/>
                <w:b/>
              </w:rPr>
              <w:t>知识</w:t>
            </w:r>
            <w:r>
              <w:rPr>
                <w:rFonts w:hint="eastAsia" w:hAnsi="宋体"/>
                <w:b/>
              </w:rPr>
              <w:t>技能</w:t>
            </w:r>
            <w:r>
              <w:rPr>
                <w:rFonts w:hAnsi="宋体"/>
                <w:b/>
              </w:rPr>
              <w:t>目标：</w:t>
            </w:r>
          </w:p>
          <w:p w14:paraId="5A4C6A79">
            <w:pPr>
              <w:spacing w:line="360" w:lineRule="auto"/>
              <w:ind w:hanging="8"/>
              <w:rPr>
                <w:rFonts w:hint="eastAsia" w:ascii="Times New Roman" w:hAnsi="宋体" w:eastAsia="宋体"/>
                <w:bCs/>
                <w:szCs w:val="20"/>
                <w:lang w:eastAsia="zh-CN"/>
              </w:rPr>
            </w:pPr>
            <w:r>
              <w:rPr>
                <w:rFonts w:ascii="Times New Roman" w:hAnsi="Times New Roman"/>
                <w:szCs w:val="20"/>
              </w:rPr>
              <w:t>1</w:t>
            </w:r>
            <w:r>
              <w:rPr>
                <w:rFonts w:ascii="Times New Roman" w:hAnsi="宋体"/>
                <w:bCs/>
                <w:szCs w:val="20"/>
              </w:rPr>
              <w:t>．</w:t>
            </w:r>
            <w:r>
              <w:rPr>
                <w:rFonts w:hint="eastAsia" w:ascii="Times New Roman" w:hAnsi="宋体"/>
                <w:bCs/>
                <w:szCs w:val="20"/>
              </w:rPr>
              <w:t>学会并积极给自己的职业生涯做出最优的规划。</w:t>
            </w:r>
          </w:p>
          <w:p w14:paraId="7FE965F4">
            <w:pPr>
              <w:spacing w:line="360" w:lineRule="auto"/>
              <w:ind w:hanging="8"/>
              <w:rPr>
                <w:rFonts w:hint="eastAsia" w:ascii="Times New Roman" w:hAnsi="宋体" w:eastAsia="宋体"/>
                <w:bCs/>
                <w:szCs w:val="20"/>
                <w:lang w:eastAsia="zh-CN"/>
              </w:rPr>
            </w:pPr>
            <w:r>
              <w:rPr>
                <w:rFonts w:ascii="Times New Roman" w:hAnsi="Times New Roman"/>
                <w:szCs w:val="20"/>
              </w:rPr>
              <w:t>2</w:t>
            </w:r>
            <w:r>
              <w:rPr>
                <w:rFonts w:ascii="Times New Roman" w:hAnsi="宋体"/>
                <w:bCs/>
                <w:szCs w:val="20"/>
              </w:rPr>
              <w:t>．</w:t>
            </w:r>
            <w:r>
              <w:rPr>
                <w:rFonts w:hint="eastAsia" w:ascii="Times New Roman" w:hAnsi="宋体"/>
                <w:bCs/>
                <w:szCs w:val="20"/>
                <w:lang w:eastAsia="zh-CN"/>
              </w:rPr>
              <w:t>学会如何去应对职场中可能出现的事件。</w:t>
            </w:r>
          </w:p>
          <w:p w14:paraId="2316A8AB">
            <w:pPr>
              <w:spacing w:line="360" w:lineRule="auto"/>
              <w:ind w:hanging="8"/>
              <w:jc w:val="left"/>
              <w:rPr>
                <w:rFonts w:ascii="Times New Roman" w:hAnsi="宋体"/>
                <w:b/>
                <w:szCs w:val="20"/>
              </w:rPr>
            </w:pPr>
            <w:r>
              <w:rPr>
                <w:rFonts w:hint="eastAsia" w:ascii="Times New Roman" w:hAnsi="宋体"/>
                <w:b/>
                <w:szCs w:val="20"/>
              </w:rPr>
              <w:t>思政育人目标：</w:t>
            </w:r>
          </w:p>
          <w:p w14:paraId="75B6325C">
            <w:pPr>
              <w:spacing w:line="360" w:lineRule="auto"/>
              <w:ind w:hanging="8"/>
              <w:jc w:val="left"/>
              <w:rPr>
                <w:rFonts w:hint="eastAsia" w:ascii="Times New Roman" w:hAnsi="宋体" w:eastAsia="宋体"/>
                <w:szCs w:val="20"/>
                <w:lang w:eastAsia="zh-CN"/>
              </w:rPr>
            </w:pPr>
            <w:r>
              <w:rPr>
                <w:rFonts w:hint="eastAsia" w:ascii="Times New Roman" w:hAnsi="宋体"/>
                <w:szCs w:val="20"/>
              </w:rPr>
              <w:t>让学生通过学习</w:t>
            </w:r>
            <w:r>
              <w:rPr>
                <w:rFonts w:hint="eastAsia" w:ascii="Times New Roman" w:hAnsi="宋体"/>
                <w:szCs w:val="20"/>
                <w:lang w:eastAsia="zh-CN"/>
              </w:rPr>
              <w:t>大学生职业生涯规划与择业心理</w:t>
            </w:r>
            <w:r>
              <w:rPr>
                <w:rFonts w:hint="eastAsia" w:ascii="Times New Roman" w:hAnsi="宋体"/>
                <w:szCs w:val="20"/>
              </w:rPr>
              <w:t>，引入理论学习，</w:t>
            </w:r>
            <w:r>
              <w:rPr>
                <w:rFonts w:hint="eastAsia" w:ascii="Times New Roman" w:hAnsi="宋体"/>
                <w:szCs w:val="20"/>
                <w:lang w:eastAsia="zh-CN"/>
              </w:rPr>
              <w:t>让大学生从自我认知层面上找出自身的优势与劣势，不断提升自身能力，提高适应社会职场的能力。</w:t>
            </w:r>
          </w:p>
        </w:tc>
      </w:tr>
      <w:tr w14:paraId="2A1728FA">
        <w:trPr>
          <w:trHeight w:val="567" w:hRule="atLeast"/>
          <w:jc w:val="center"/>
        </w:trPr>
        <w:tc>
          <w:tcPr>
            <w:tcW w:w="1538" w:type="dxa"/>
            <w:tcBorders>
              <w:top w:val="dashSmallGap" w:color="EF939E" w:themeColor="accent6" w:themeTint="99" w:sz="4" w:space="0"/>
              <w:bottom w:val="dashSmallGap" w:color="EE822F" w:themeColor="accent2" w:sz="4" w:space="0"/>
              <w:right w:val="dashSmallGap" w:color="EE822F" w:themeColor="accent2" w:sz="4" w:space="0"/>
            </w:tcBorders>
            <w:shd w:val="clear" w:color="auto" w:fill="FBE6D6" w:themeFill="accent2" w:themeFillTint="32"/>
            <w:vAlign w:val="center"/>
          </w:tcPr>
          <w:p w14:paraId="6C2B4C5E">
            <w:pPr>
              <w:spacing w:line="360" w:lineRule="auto"/>
              <w:ind w:hanging="8"/>
              <w:jc w:val="center"/>
              <w:rPr>
                <w:rFonts w:hint="eastAsia" w:ascii="黑体" w:hAnsi="黑体" w:eastAsia="黑体" w:cs="黑体"/>
                <w:b/>
                <w:color w:val="EE822F" w:themeColor="accent2"/>
                <w:szCs w:val="20"/>
                <w14:textFill>
                  <w14:solidFill>
                    <w14:schemeClr w14:val="accent2"/>
                  </w14:solidFill>
                </w14:textFill>
              </w:rPr>
            </w:pPr>
            <w:r>
              <w:rPr>
                <w:rFonts w:hint="eastAsia" w:ascii="黑体" w:hAnsi="黑体" w:eastAsia="黑体" w:cs="黑体"/>
                <w:b/>
                <w:color w:val="EE822F" w:themeColor="accent2"/>
                <w:szCs w:val="20"/>
                <w14:textFill>
                  <w14:solidFill>
                    <w14:schemeClr w14:val="accent2"/>
                  </w14:solidFill>
                </w14:textFill>
              </w:rPr>
              <w:t>教学重难点</w:t>
            </w:r>
          </w:p>
        </w:tc>
        <w:tc>
          <w:tcPr>
            <w:tcW w:w="8667" w:type="dxa"/>
            <w:gridSpan w:val="2"/>
            <w:tcBorders>
              <w:top w:val="dashSmallGap" w:color="EF939E" w:themeColor="accent6" w:themeTint="99" w:sz="4" w:space="0"/>
              <w:left w:val="dashSmallGap" w:color="EE822F" w:themeColor="accent2" w:sz="4" w:space="0"/>
              <w:bottom w:val="dashSmallGap" w:color="EE822F" w:themeColor="accent2" w:sz="4" w:space="0"/>
            </w:tcBorders>
            <w:shd w:val="clear" w:color="auto" w:fill="FFF9F2"/>
            <w:vAlign w:val="center"/>
          </w:tcPr>
          <w:p w14:paraId="40A0F443">
            <w:pPr>
              <w:spacing w:line="360" w:lineRule="auto"/>
              <w:ind w:hanging="8"/>
              <w:rPr>
                <w:rFonts w:ascii="Times New Roman" w:hAnsi="Times New Roman"/>
                <w:b/>
                <w:szCs w:val="20"/>
              </w:rPr>
            </w:pPr>
            <w:r>
              <w:rPr>
                <w:rFonts w:hint="eastAsia" w:ascii="Times New Roman" w:hAnsi="Times New Roman"/>
                <w:b/>
                <w:szCs w:val="20"/>
              </w:rPr>
              <w:t>教学重点：</w:t>
            </w:r>
          </w:p>
          <w:p w14:paraId="75F72A6B">
            <w:pPr>
              <w:spacing w:line="360" w:lineRule="auto"/>
              <w:ind w:hanging="8"/>
              <w:rPr>
                <w:rFonts w:hint="eastAsia" w:ascii="Times New Roman" w:hAnsi="宋体"/>
                <w:szCs w:val="20"/>
              </w:rPr>
            </w:pPr>
            <w:r>
              <w:rPr>
                <w:rFonts w:hint="eastAsia" w:ascii="Times New Roman" w:hAnsi="宋体"/>
                <w:szCs w:val="20"/>
              </w:rPr>
              <w:t>大学期间职业生涯规划的制定</w:t>
            </w:r>
          </w:p>
          <w:p w14:paraId="35B6593E">
            <w:pPr>
              <w:spacing w:line="360" w:lineRule="auto"/>
              <w:ind w:hanging="8"/>
              <w:rPr>
                <w:rFonts w:ascii="Times New Roman" w:hAnsi="Times New Roman"/>
                <w:b/>
                <w:szCs w:val="20"/>
              </w:rPr>
            </w:pPr>
            <w:r>
              <w:rPr>
                <w:rFonts w:hint="eastAsia" w:ascii="Times New Roman" w:hAnsi="Times New Roman"/>
                <w:b/>
                <w:szCs w:val="20"/>
              </w:rPr>
              <w:t>教学难点：</w:t>
            </w:r>
          </w:p>
          <w:p w14:paraId="6E03F56C">
            <w:pPr>
              <w:spacing w:line="360" w:lineRule="auto"/>
              <w:ind w:hanging="8"/>
              <w:rPr>
                <w:rFonts w:hint="eastAsia" w:ascii="Times New Roman" w:hAnsi="宋体" w:eastAsia="宋体"/>
                <w:szCs w:val="20"/>
                <w:lang w:eastAsia="zh-CN"/>
              </w:rPr>
            </w:pPr>
            <w:r>
              <w:rPr>
                <w:rFonts w:hint="eastAsia" w:ascii="Times New Roman" w:hAnsi="宋体"/>
                <w:szCs w:val="20"/>
              </w:rPr>
              <w:t>大学生择业中常见心理问题及调适</w:t>
            </w:r>
          </w:p>
        </w:tc>
      </w:tr>
      <w:tr w14:paraId="6D19B846">
        <w:trPr>
          <w:trHeight w:val="567" w:hRule="atLeast"/>
          <w:jc w:val="center"/>
        </w:trPr>
        <w:tc>
          <w:tcPr>
            <w:tcW w:w="1538" w:type="dxa"/>
            <w:tcBorders>
              <w:top w:val="dashSmallGap" w:color="EE822F" w:themeColor="accent2" w:sz="4" w:space="0"/>
              <w:bottom w:val="dashSmallGap" w:color="EE822F" w:themeColor="accent2" w:sz="4" w:space="0"/>
              <w:right w:val="dashSmallGap" w:color="EE822F" w:themeColor="accent2" w:sz="4" w:space="0"/>
            </w:tcBorders>
            <w:shd w:val="clear" w:color="auto" w:fill="FBE6D6" w:themeFill="accent2" w:themeFillTint="32"/>
            <w:vAlign w:val="center"/>
          </w:tcPr>
          <w:p w14:paraId="5219354D">
            <w:pPr>
              <w:spacing w:line="360" w:lineRule="auto"/>
              <w:ind w:hanging="8"/>
              <w:jc w:val="center"/>
              <w:rPr>
                <w:rFonts w:hint="eastAsia" w:ascii="黑体" w:hAnsi="黑体" w:eastAsia="黑体" w:cs="黑体"/>
                <w:b/>
                <w:color w:val="EE822F" w:themeColor="accent2"/>
                <w:szCs w:val="20"/>
                <w14:textFill>
                  <w14:solidFill>
                    <w14:schemeClr w14:val="accent2"/>
                  </w14:solidFill>
                </w14:textFill>
              </w:rPr>
            </w:pPr>
            <w:r>
              <w:rPr>
                <w:rFonts w:hint="eastAsia" w:ascii="黑体" w:hAnsi="黑体" w:eastAsia="黑体" w:cs="黑体"/>
                <w:b/>
                <w:color w:val="EE822F" w:themeColor="accent2"/>
                <w:szCs w:val="20"/>
                <w14:textFill>
                  <w14:solidFill>
                    <w14:schemeClr w14:val="accent2"/>
                  </w14:solidFill>
                </w14:textFill>
              </w:rPr>
              <w:t>教学方法</w:t>
            </w:r>
          </w:p>
        </w:tc>
        <w:tc>
          <w:tcPr>
            <w:tcW w:w="8667" w:type="dxa"/>
            <w:gridSpan w:val="2"/>
            <w:tcBorders>
              <w:top w:val="dashSmallGap" w:color="EE822F" w:themeColor="accent2" w:sz="4" w:space="0"/>
              <w:left w:val="dashSmallGap" w:color="EE822F" w:themeColor="accent2" w:sz="4" w:space="0"/>
              <w:bottom w:val="dashSmallGap" w:color="EE822F"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Cs w:val="20"/>
              </w:rPr>
              <w:t>讲授法、问答法、讨论法</w:t>
            </w:r>
          </w:p>
        </w:tc>
      </w:tr>
      <w:tr w14:paraId="354546A2">
        <w:trPr>
          <w:trHeight w:val="567" w:hRule="atLeast"/>
          <w:jc w:val="center"/>
        </w:trPr>
        <w:tc>
          <w:tcPr>
            <w:tcW w:w="1538" w:type="dxa"/>
            <w:tcBorders>
              <w:top w:val="dashSmallGap" w:color="EE822F" w:themeColor="accent2" w:sz="4" w:space="0"/>
              <w:bottom w:val="dashSmallGap" w:color="4874CB" w:themeColor="accent1" w:sz="4" w:space="0"/>
              <w:right w:val="dashSmallGap" w:color="EE822F" w:themeColor="accent2" w:sz="4" w:space="0"/>
            </w:tcBorders>
            <w:shd w:val="clear" w:color="auto" w:fill="FBE6D6" w:themeFill="accent2" w:themeFillTint="32"/>
            <w:vAlign w:val="center"/>
          </w:tcPr>
          <w:p w14:paraId="547D300B">
            <w:pPr>
              <w:spacing w:line="360" w:lineRule="auto"/>
              <w:ind w:hanging="8"/>
              <w:jc w:val="center"/>
              <w:rPr>
                <w:rFonts w:hint="eastAsia" w:ascii="黑体" w:hAnsi="黑体" w:eastAsia="黑体" w:cs="黑体"/>
                <w:b/>
                <w:color w:val="EE822F" w:themeColor="accent2"/>
                <w:szCs w:val="20"/>
                <w14:textFill>
                  <w14:solidFill>
                    <w14:schemeClr w14:val="accent2"/>
                  </w14:solidFill>
                </w14:textFill>
              </w:rPr>
            </w:pPr>
            <w:r>
              <w:rPr>
                <w:rFonts w:hint="eastAsia" w:ascii="黑体" w:hAnsi="黑体" w:eastAsia="黑体" w:cs="黑体"/>
                <w:b/>
                <w:color w:val="EE822F" w:themeColor="accent2"/>
                <w:szCs w:val="20"/>
                <w14:textFill>
                  <w14:solidFill>
                    <w14:schemeClr w14:val="accent2"/>
                  </w14:solidFill>
                </w14:textFill>
              </w:rPr>
              <w:t>教学用具</w:t>
            </w:r>
          </w:p>
        </w:tc>
        <w:tc>
          <w:tcPr>
            <w:tcW w:w="8667" w:type="dxa"/>
            <w:gridSpan w:val="2"/>
            <w:tcBorders>
              <w:top w:val="dashSmallGap" w:color="EE822F" w:themeColor="accent2" w:sz="4" w:space="0"/>
              <w:left w:val="dashSmallGap" w:color="EE822F" w:themeColor="accent2" w:sz="4" w:space="0"/>
              <w:bottom w:val="dashSmallGap" w:color="4874CB"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Cs w:val="20"/>
              </w:rPr>
              <w:t>电脑、投影仪、</w:t>
            </w:r>
            <w:r>
              <w:rPr>
                <w:rFonts w:ascii="Times New Roman" w:hAnsi="宋体"/>
                <w:szCs w:val="20"/>
              </w:rPr>
              <w:t>多媒体</w:t>
            </w:r>
            <w:r>
              <w:rPr>
                <w:rFonts w:hint="eastAsia" w:ascii="Times New Roman" w:hAnsi="宋体"/>
                <w:szCs w:val="20"/>
              </w:rPr>
              <w:t>课件、教材</w:t>
            </w:r>
          </w:p>
        </w:tc>
      </w:tr>
      <w:tr w14:paraId="47F79B2F">
        <w:trPr>
          <w:trHeight w:val="567" w:hRule="atLeast"/>
          <w:jc w:val="center"/>
        </w:trPr>
        <w:tc>
          <w:tcPr>
            <w:tcW w:w="1538" w:type="dxa"/>
            <w:tcBorders>
              <w:top w:val="dashSmallGap" w:color="4874CB" w:themeColor="accent1" w:sz="4" w:space="0"/>
              <w:bottom w:val="double" w:color="833F0A" w:themeColor="accent2" w:themeShade="7F" w:sz="4" w:space="0"/>
              <w:right w:val="dashSmallGap" w:color="4874CB"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667" w:type="dxa"/>
            <w:gridSpan w:val="2"/>
            <w:tcBorders>
              <w:top w:val="dashSmallGap" w:color="4874CB" w:themeColor="accent1" w:sz="4" w:space="0"/>
              <w:left w:val="dashSmallGap" w:color="4874CB" w:themeColor="accent1" w:sz="4" w:space="0"/>
              <w:bottom w:val="double" w:color="833F0A" w:themeColor="accent2" w:themeShade="7F" w:sz="4" w:space="0"/>
            </w:tcBorders>
            <w:shd w:val="clear" w:color="auto" w:fill="EBF5FF"/>
            <w:vAlign w:val="center"/>
          </w:tcPr>
          <w:p w14:paraId="0D4446CC">
            <w:pPr>
              <w:spacing w:line="360" w:lineRule="auto"/>
              <w:rPr>
                <w:rFonts w:ascii="Times New Roman" w:hAnsi="宋体"/>
                <w:szCs w:val="20"/>
              </w:rPr>
            </w:pPr>
            <w:r>
              <w:rPr>
                <w:rFonts w:hint="eastAsia" w:ascii="Times New Roman" w:hAnsi="宋体"/>
                <w:szCs w:val="20"/>
              </w:rPr>
              <w:t>第1节课：激趣导入（15min）--传授新知（30min）</w:t>
            </w:r>
          </w:p>
          <w:p w14:paraId="5F6B9524">
            <w:pPr>
              <w:spacing w:line="360" w:lineRule="auto"/>
              <w:rPr>
                <w:rFonts w:hint="eastAsia" w:ascii="Times New Roman" w:hAnsi="宋体"/>
                <w:szCs w:val="20"/>
              </w:rPr>
            </w:pPr>
            <w:r>
              <w:rPr>
                <w:rFonts w:hint="eastAsia" w:ascii="Times New Roman" w:hAnsi="宋体"/>
                <w:szCs w:val="20"/>
              </w:rPr>
              <w:t>第</w:t>
            </w:r>
            <w:r>
              <w:rPr>
                <w:rFonts w:ascii="Times New Roman" w:hAnsi="宋体"/>
                <w:szCs w:val="20"/>
              </w:rPr>
              <w:t>2</w:t>
            </w:r>
            <w:r>
              <w:rPr>
                <w:rFonts w:hint="eastAsia" w:ascii="Times New Roman" w:hAnsi="宋体"/>
                <w:szCs w:val="20"/>
              </w:rPr>
              <w:t>节课：继续探索（</w:t>
            </w:r>
            <w:r>
              <w:rPr>
                <w:rFonts w:hint="eastAsia" w:ascii="Times New Roman" w:hAnsi="宋体"/>
                <w:szCs w:val="20"/>
                <w:lang w:val="en-US" w:eastAsia="zh-CN"/>
              </w:rPr>
              <w:t>40</w:t>
            </w:r>
            <w:r>
              <w:rPr>
                <w:rFonts w:hint="eastAsia" w:ascii="Times New Roman" w:hAnsi="宋体"/>
                <w:szCs w:val="20"/>
              </w:rPr>
              <w:t>min）----课堂小结（3min）--作业布置（2min）</w:t>
            </w:r>
          </w:p>
          <w:p w14:paraId="10FAA4C9">
            <w:pPr>
              <w:spacing w:line="360" w:lineRule="auto"/>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3</w:t>
            </w:r>
            <w:r>
              <w:rPr>
                <w:rFonts w:hint="eastAsia" w:ascii="Times New Roman" w:hAnsi="宋体"/>
                <w:szCs w:val="20"/>
              </w:rPr>
              <w:t>节课：继续探索（40min）----课堂小结（3min）--作业布置（2min）</w:t>
            </w:r>
          </w:p>
        </w:tc>
      </w:tr>
      <w:tr w14:paraId="74F94E37">
        <w:trPr>
          <w:trHeight w:val="567" w:hRule="atLeast"/>
          <w:jc w:val="center"/>
        </w:trPr>
        <w:tc>
          <w:tcPr>
            <w:tcW w:w="1538" w:type="dxa"/>
            <w:tcBorders>
              <w:top w:val="double" w:color="833F0A" w:themeColor="accent2" w:themeShade="7F" w:sz="4" w:space="0"/>
              <w:bottom w:val="double" w:color="833F0A" w:themeColor="accent2" w:themeShade="7F" w:sz="4" w:space="0"/>
              <w:right w:val="single" w:color="833F0A" w:themeColor="accent2" w:themeShade="7F" w:sz="4" w:space="0"/>
            </w:tcBorders>
            <w:shd w:val="clear" w:color="auto" w:fill="ACD78D" w:themeFill="accent4" w:themeFillTint="99"/>
            <w:vAlign w:val="center"/>
          </w:tcPr>
          <w:p w14:paraId="34394223">
            <w:pPr>
              <w:spacing w:line="360" w:lineRule="auto"/>
              <w:ind w:hanging="8"/>
              <w:jc w:val="center"/>
              <w:rPr>
                <w:rFonts w:hint="eastAsia" w:ascii="黑体" w:hAnsi="黑体" w:eastAsia="黑体" w:cs="黑体"/>
                <w:b w:val="0"/>
                <w:bCs w:val="0"/>
                <w:color w:val="843F0B" w:themeColor="accent2" w:themeShade="80"/>
                <w:szCs w:val="24"/>
              </w:rPr>
            </w:pPr>
            <w:r>
              <w:rPr>
                <w:rFonts w:hint="eastAsia" w:ascii="黑体" w:hAnsi="黑体" w:eastAsia="黑体" w:cs="黑体"/>
                <w:b w:val="0"/>
                <w:bCs w:val="0"/>
                <w:color w:val="843F0B" w:themeColor="accent2" w:themeShade="80"/>
                <w:szCs w:val="24"/>
              </w:rPr>
              <w:t>教学过程</w:t>
            </w:r>
          </w:p>
        </w:tc>
        <w:tc>
          <w:tcPr>
            <w:tcW w:w="7050" w:type="dxa"/>
            <w:tcBorders>
              <w:top w:val="double" w:color="833F0A" w:themeColor="accent2" w:themeShade="7F" w:sz="4" w:space="0"/>
              <w:left w:val="single" w:color="833F0A" w:themeColor="accent2" w:themeShade="7F" w:sz="4" w:space="0"/>
              <w:bottom w:val="double" w:color="833F0A" w:themeColor="accent2" w:themeShade="7F" w:sz="4" w:space="0"/>
              <w:right w:val="single" w:color="833F0A" w:themeColor="accent2" w:themeShade="7F" w:sz="4" w:space="0"/>
            </w:tcBorders>
            <w:shd w:val="clear" w:color="auto" w:fill="ACD78D" w:themeFill="accent4" w:themeFillTint="99"/>
            <w:vAlign w:val="center"/>
          </w:tcPr>
          <w:p w14:paraId="21F959F7">
            <w:pPr>
              <w:spacing w:line="360" w:lineRule="auto"/>
              <w:jc w:val="center"/>
              <w:rPr>
                <w:rFonts w:hint="eastAsia" w:ascii="黑体" w:hAnsi="黑体" w:eastAsia="黑体" w:cs="黑体"/>
                <w:b w:val="0"/>
                <w:bCs w:val="0"/>
                <w:color w:val="843F0B" w:themeColor="accent2" w:themeShade="80"/>
                <w:szCs w:val="20"/>
              </w:rPr>
            </w:pPr>
            <w:r>
              <w:rPr>
                <w:rFonts w:hint="eastAsia" w:ascii="黑体" w:hAnsi="黑体" w:eastAsia="黑体" w:cs="黑体"/>
                <w:b w:val="0"/>
                <w:bCs w:val="0"/>
                <w:color w:val="843F0B" w:themeColor="accent2" w:themeShade="80"/>
                <w:szCs w:val="24"/>
              </w:rPr>
              <w:t>主 要 教 学 内 容 及 步 骤</w:t>
            </w:r>
          </w:p>
        </w:tc>
        <w:tc>
          <w:tcPr>
            <w:tcW w:w="1617" w:type="dxa"/>
            <w:tcBorders>
              <w:top w:val="double" w:color="833F0A" w:themeColor="accent2" w:themeShade="7F" w:sz="4" w:space="0"/>
              <w:left w:val="single" w:color="833F0A" w:themeColor="accent2" w:themeShade="7F" w:sz="4" w:space="0"/>
              <w:bottom w:val="double" w:color="833F0A" w:themeColor="accent2" w:themeShade="7F" w:sz="4" w:space="0"/>
            </w:tcBorders>
            <w:shd w:val="clear" w:color="auto" w:fill="ACD78D" w:themeFill="accent4" w:themeFillTint="99"/>
            <w:vAlign w:val="center"/>
          </w:tcPr>
          <w:p w14:paraId="7E8E2924">
            <w:pPr>
              <w:spacing w:line="360" w:lineRule="auto"/>
              <w:jc w:val="center"/>
              <w:rPr>
                <w:rFonts w:hint="eastAsia" w:ascii="黑体" w:hAnsi="黑体" w:eastAsia="黑体" w:cs="黑体"/>
                <w:b w:val="0"/>
                <w:bCs w:val="0"/>
                <w:color w:val="843F0B" w:themeColor="accent2" w:themeShade="80"/>
                <w:szCs w:val="20"/>
              </w:rPr>
            </w:pPr>
            <w:r>
              <w:rPr>
                <w:rFonts w:hint="eastAsia" w:ascii="黑体" w:hAnsi="黑体" w:eastAsia="黑体" w:cs="黑体"/>
                <w:b w:val="0"/>
                <w:bCs w:val="0"/>
                <w:color w:val="843F0B" w:themeColor="accent2" w:themeShade="80"/>
                <w:szCs w:val="20"/>
              </w:rPr>
              <w:t>设计意图</w:t>
            </w:r>
          </w:p>
        </w:tc>
      </w:tr>
      <w:tr w14:paraId="400EE313">
        <w:trPr>
          <w:trHeight w:val="567" w:hRule="atLeast"/>
          <w:jc w:val="center"/>
        </w:trPr>
        <w:tc>
          <w:tcPr>
            <w:tcW w:w="1538" w:type="dxa"/>
            <w:tcBorders>
              <w:top w:val="double" w:color="833F0A" w:themeColor="accent2" w:themeShade="7F" w:sz="4" w:space="0"/>
              <w:bottom w:val="dashSmallGap" w:color="E54C5E" w:themeColor="accent6" w:sz="4" w:space="0"/>
              <w:right w:val="dashSmallGap" w:color="833F0A" w:themeColor="accent2" w:themeShade="7F" w:sz="4" w:space="0"/>
            </w:tcBorders>
            <w:shd w:val="clear" w:color="auto" w:fill="FEFFE9"/>
            <w:vAlign w:val="center"/>
          </w:tcPr>
          <w:p w14:paraId="5DBB22E2">
            <w:pPr>
              <w:spacing w:line="360" w:lineRule="auto"/>
              <w:rPr>
                <w:rFonts w:ascii="微软雅黑" w:hAnsi="微软雅黑" w:eastAsia="微软雅黑"/>
                <w:b/>
                <w:sz w:val="24"/>
                <w:szCs w:val="24"/>
              </w:rPr>
            </w:pPr>
          </w:p>
          <w:p w14:paraId="182662C3">
            <w:pPr>
              <w:spacing w:line="360" w:lineRule="auto"/>
              <w:jc w:val="center"/>
              <w:rPr>
                <w:rFonts w:ascii="微软雅黑" w:hAnsi="微软雅黑" w:eastAsia="微软雅黑"/>
                <w:b/>
                <w:color w:val="843F0B" w:themeColor="accent2" w:themeShade="80"/>
                <w:sz w:val="24"/>
                <w:szCs w:val="24"/>
              </w:rPr>
            </w:pPr>
            <w:r>
              <w:rPr>
                <w:rFonts w:hint="eastAsia" w:ascii="微软雅黑" w:hAnsi="微软雅黑" w:eastAsia="微软雅黑"/>
                <w:b/>
                <w:color w:val="843F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F0B" w:themeColor="accent2" w:themeShade="80"/>
                <w:szCs w:val="24"/>
              </w:rPr>
              <w:t>（15</w:t>
            </w:r>
            <w:r>
              <w:rPr>
                <w:rFonts w:hint="eastAsia" w:ascii="Times New Roman" w:hAnsi="Times New Roman"/>
                <w:color w:val="843F0B" w:themeColor="accent2" w:themeShade="80"/>
                <w:szCs w:val="24"/>
              </w:rPr>
              <w:t>min</w:t>
            </w:r>
            <w:r>
              <w:rPr>
                <w:rFonts w:ascii="Times New Roman" w:hAnsi="Times New Roman"/>
                <w:color w:val="843F0B" w:themeColor="accent2" w:themeShade="80"/>
                <w:szCs w:val="24"/>
              </w:rPr>
              <w:t>）</w:t>
            </w:r>
          </w:p>
        </w:tc>
        <w:tc>
          <w:tcPr>
            <w:tcW w:w="7050" w:type="dxa"/>
            <w:tcBorders>
              <w:top w:val="double" w:color="833F0A" w:themeColor="accent2" w:themeShade="7F" w:sz="4" w:space="0"/>
              <w:left w:val="dashSmallGap" w:color="833F0A" w:themeColor="accent2" w:themeShade="7F" w:sz="4" w:space="0"/>
              <w:bottom w:val="dashSmallGap" w:color="E54C5E" w:themeColor="accent6" w:sz="4" w:space="0"/>
              <w:right w:val="dashSmallGap" w:color="833F0A" w:themeColor="accent2" w:themeShade="7F" w:sz="4" w:space="0"/>
            </w:tcBorders>
            <w:vAlign w:val="center"/>
          </w:tcPr>
          <w:p w14:paraId="4FBF39C4">
            <w:pPr>
              <w:spacing w:line="360" w:lineRule="auto"/>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lang w:val="en-US" w:eastAsia="zh-CN"/>
              </w:rPr>
              <w:t>讲解故事</w:t>
            </w:r>
          </w:p>
          <w:p w14:paraId="0769130B">
            <w:pPr>
              <w:spacing w:line="360" w:lineRule="auto"/>
              <w:ind w:firstLine="420" w:firstLineChars="200"/>
              <w:jc w:val="center"/>
              <w:rPr>
                <w:rFonts w:hint="eastAsia" w:ascii="宋体" w:hAnsi="宋体" w:cs="宋体"/>
                <w:b/>
                <w:bCs w:val="0"/>
                <w:kern w:val="0"/>
                <w:szCs w:val="24"/>
              </w:rPr>
            </w:pPr>
            <w:r>
              <w:rPr>
                <w:rFonts w:hint="eastAsia" w:ascii="宋体" w:hAnsi="宋体" w:cs="宋体"/>
                <w:b/>
                <w:bCs w:val="0"/>
                <w:kern w:val="0"/>
                <w:szCs w:val="24"/>
              </w:rPr>
              <w:t>两个和尚</w:t>
            </w:r>
          </w:p>
          <w:p w14:paraId="58FD397F">
            <w:pPr>
              <w:spacing w:line="360" w:lineRule="auto"/>
              <w:ind w:firstLine="420" w:firstLineChars="200"/>
              <w:rPr>
                <w:rFonts w:hint="eastAsia" w:ascii="宋体" w:hAnsi="宋体" w:cs="宋体"/>
                <w:b w:val="0"/>
                <w:bCs/>
                <w:kern w:val="0"/>
                <w:szCs w:val="24"/>
              </w:rPr>
            </w:pPr>
            <w:r>
              <w:rPr>
                <w:rFonts w:hint="eastAsia" w:ascii="宋体" w:hAnsi="宋体" w:cs="宋体"/>
                <w:b w:val="0"/>
                <w:bCs/>
                <w:kern w:val="0"/>
                <w:szCs w:val="24"/>
              </w:rPr>
              <w:t>有两个和尚分别住在相邻的两座山上的庙里。两山之间有一条溪，两个和尚每天都会在同一时间下山去溪边挑水。不知不觉已经过了五年。突然有一天，左边这座山的和尚没有下山挑水，右边那座山的和尚心想：“他大概睡过头了。”便不以为然。哪知第二天，左边这座山的和尚，还是没有下山挑水，第三天也一样，直到过了一个月，右边那座山的和尚想：“我的朋友可能生病了。”于是他便爬上了左边这座山去探望他的老朋友。</w:t>
            </w:r>
          </w:p>
          <w:p w14:paraId="7F31C606">
            <w:pPr>
              <w:spacing w:line="360" w:lineRule="auto"/>
              <w:ind w:firstLine="420" w:firstLineChars="200"/>
              <w:rPr>
                <w:rFonts w:hint="eastAsia" w:ascii="宋体" w:hAnsi="宋体" w:cs="宋体"/>
                <w:b w:val="0"/>
                <w:bCs/>
                <w:kern w:val="0"/>
                <w:szCs w:val="24"/>
              </w:rPr>
            </w:pPr>
            <w:r>
              <w:rPr>
                <w:rFonts w:hint="eastAsia" w:ascii="宋体" w:hAnsi="宋体" w:cs="宋体"/>
                <w:b w:val="0"/>
                <w:bCs/>
                <w:kern w:val="0"/>
                <w:szCs w:val="24"/>
              </w:rPr>
              <w:t>当他看到他的老友正在庙前打太极拳时，他十分好奇地问：“你已经一个月没有下山挑水了，难道你可以不喝水吗 ?”左边这座山的和尚指着一口井说：“这五年来，我每天做完功课后，都会抽空挖这口井。如今，终于让我挖出水，我就不必再下山挑水，我可以有更多时间练我喜欢的太极拳了。”</w:t>
            </w:r>
          </w:p>
          <w:p w14:paraId="659BC908">
            <w:pPr>
              <w:spacing w:line="360" w:lineRule="auto"/>
              <w:ind w:firstLine="420" w:firstLineChars="200"/>
              <w:rPr>
                <w:rFonts w:ascii="宋体" w:hAnsi="宋体" w:cs="宋体"/>
                <w:b/>
                <w:kern w:val="0"/>
                <w:szCs w:val="24"/>
              </w:rPr>
            </w:pPr>
            <w:r>
              <w:rPr>
                <w:rFonts w:hint="eastAsia" w:ascii="宋体" w:hAnsi="宋体" w:cs="宋体"/>
                <w:b w:val="0"/>
                <w:bCs/>
                <w:color w:val="EB4691"/>
                <w:kern w:val="0"/>
                <w:szCs w:val="24"/>
                <w:lang w:val="en-US" w:eastAsia="zh-CN"/>
              </w:rPr>
              <w:t>启示：</w:t>
            </w:r>
            <w:r>
              <w:rPr>
                <w:rFonts w:hint="eastAsia" w:ascii="宋体" w:hAnsi="宋体" w:cs="宋体"/>
                <w:b w:val="0"/>
                <w:bCs/>
                <w:kern w:val="0"/>
                <w:szCs w:val="24"/>
              </w:rPr>
              <w:t>我们常常会忘记把握闲暇时间，挖一口属于自己的井，培养自己另一方面的实力。如果我们没有忘记，那当我们年纪大了，我们还依然会有水喝，而且还能喝得很悠闲。</w:t>
            </w:r>
          </w:p>
          <w:p w14:paraId="4DAC1EE9">
            <w:pPr>
              <w:spacing w:line="360" w:lineRule="auto"/>
              <w:rPr>
                <w:rFonts w:ascii="Times New Roman" w:hAnsi="Times New Roman"/>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eastAsia="zh-CN"/>
              </w:rPr>
              <w:t>见解</w:t>
            </w:r>
            <w:r>
              <w:rPr>
                <w:rFonts w:hint="eastAsia" w:ascii="Times New Roman" w:hAnsi="Times New Roman"/>
                <w:b/>
                <w:color w:val="CC0066"/>
              </w:rPr>
              <w:t>。</w:t>
            </w:r>
          </w:p>
        </w:tc>
        <w:tc>
          <w:tcPr>
            <w:tcW w:w="1617" w:type="dxa"/>
            <w:tcBorders>
              <w:top w:val="double" w:color="833F0A" w:themeColor="accent2" w:themeShade="7F" w:sz="4" w:space="0"/>
              <w:left w:val="dashSmallGap" w:color="833F0A" w:themeColor="accent2" w:themeShade="7F" w:sz="4" w:space="0"/>
              <w:bottom w:val="dashSmallGap" w:color="E54C5E" w:themeColor="accent6" w:sz="4" w:space="0"/>
            </w:tcBorders>
            <w:shd w:val="clear" w:color="auto" w:fill="auto"/>
            <w:vAlign w:val="center"/>
          </w:tcPr>
          <w:p w14:paraId="0639F982">
            <w:pPr>
              <w:spacing w:line="360" w:lineRule="auto"/>
              <w:jc w:val="both"/>
              <w:rPr>
                <w:rFonts w:ascii="Times New Roman" w:hAnsi="Times New Roman"/>
                <w:b/>
                <w:szCs w:val="24"/>
              </w:rPr>
            </w:pPr>
            <w:r>
              <w:rPr>
                <w:rFonts w:hint="eastAsia" w:ascii="Times New Roman" w:hAnsi="Times New Roman"/>
                <w:b w:val="0"/>
                <w:bCs/>
                <w:szCs w:val="24"/>
              </w:rPr>
              <w:t>通过</w:t>
            </w:r>
            <w:r>
              <w:rPr>
                <w:rFonts w:hint="eastAsia" w:ascii="Times New Roman" w:hAnsi="Times New Roman"/>
                <w:b w:val="0"/>
                <w:bCs/>
                <w:szCs w:val="24"/>
                <w:lang w:val="en-US" w:eastAsia="zh-CN"/>
              </w:rPr>
              <w:t>聆听故事</w:t>
            </w:r>
            <w:r>
              <w:rPr>
                <w:rFonts w:hint="eastAsia" w:ascii="Times New Roman" w:hAnsi="Times New Roman"/>
                <w:b w:val="0"/>
                <w:bCs/>
                <w:szCs w:val="24"/>
              </w:rPr>
              <w:t>，让学生了解</w:t>
            </w:r>
            <w:r>
              <w:rPr>
                <w:rFonts w:hint="eastAsia" w:ascii="Times New Roman" w:hAnsi="Times New Roman"/>
                <w:b w:val="0"/>
                <w:bCs/>
                <w:szCs w:val="24"/>
                <w:lang w:eastAsia="zh-CN"/>
              </w:rPr>
              <w:t>心理学</w:t>
            </w:r>
            <w:r>
              <w:rPr>
                <w:rFonts w:hint="eastAsia" w:ascii="Times New Roman" w:hAnsi="Times New Roman"/>
                <w:b w:val="0"/>
                <w:bCs/>
                <w:szCs w:val="24"/>
              </w:rPr>
              <w:t>，激发学生的学习欲望。</w:t>
            </w:r>
          </w:p>
        </w:tc>
      </w:tr>
      <w:tr w14:paraId="66D132EF">
        <w:trPr>
          <w:trHeight w:val="567" w:hRule="atLeast"/>
          <w:jc w:val="center"/>
        </w:trPr>
        <w:tc>
          <w:tcPr>
            <w:tcW w:w="1538" w:type="dxa"/>
            <w:tcBorders>
              <w:top w:val="dashSmallGap" w:color="E54C5E" w:themeColor="accent6" w:sz="4" w:space="0"/>
              <w:bottom w:val="dashSmallGap" w:color="E54C5E" w:themeColor="accent6" w:sz="4" w:space="0"/>
              <w:right w:val="dashSmallGap" w:color="E54C5E" w:themeColor="accent6" w:sz="4" w:space="0"/>
            </w:tcBorders>
            <w:shd w:val="clear" w:color="auto" w:fill="F9DBDF" w:themeFill="accent6" w:themeFillTint="32"/>
            <w:vAlign w:val="center"/>
          </w:tcPr>
          <w:p w14:paraId="433EB227">
            <w:pPr>
              <w:spacing w:line="360" w:lineRule="auto"/>
              <w:jc w:val="center"/>
              <w:rPr>
                <w:rFonts w:ascii="微软雅黑" w:hAnsi="微软雅黑" w:eastAsia="微软雅黑"/>
                <w:b/>
                <w:color w:val="851321" w:themeColor="accent6" w:themeShade="80"/>
                <w:sz w:val="24"/>
                <w:szCs w:val="24"/>
              </w:rPr>
            </w:pPr>
            <w:r>
              <w:rPr>
                <w:rFonts w:ascii="微软雅黑" w:hAnsi="微软雅黑" w:eastAsia="微软雅黑"/>
                <w:b/>
                <w:color w:val="851321"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851321" w:themeColor="accent6" w:themeShade="80"/>
                <w:szCs w:val="24"/>
              </w:rPr>
              <w:t>（30</w:t>
            </w:r>
            <w:r>
              <w:rPr>
                <w:rFonts w:hint="eastAsia" w:ascii="Times New Roman" w:hAnsi="Times New Roman"/>
                <w:color w:val="851321" w:themeColor="accent6" w:themeShade="80"/>
                <w:szCs w:val="24"/>
              </w:rPr>
              <w:t>min</w:t>
            </w:r>
            <w:r>
              <w:rPr>
                <w:rFonts w:ascii="Times New Roman" w:hAnsi="Times New Roman"/>
                <w:color w:val="851321" w:themeColor="accent6" w:themeShade="80"/>
                <w:szCs w:val="24"/>
              </w:rPr>
              <w:t>）</w:t>
            </w:r>
          </w:p>
        </w:tc>
        <w:tc>
          <w:tcPr>
            <w:tcW w:w="7050" w:type="dxa"/>
            <w:tcBorders>
              <w:top w:val="dashSmallGap" w:color="E54C5E" w:themeColor="accent6" w:sz="4" w:space="0"/>
              <w:left w:val="dashSmallGap" w:color="E54C5E" w:themeColor="accent6" w:sz="4" w:space="0"/>
              <w:bottom w:val="dashSmallGap" w:color="E54C5E" w:themeColor="accent6" w:sz="4" w:space="0"/>
              <w:right w:val="dashSmallGap" w:color="E54C5E" w:themeColor="accent6" w:sz="4" w:space="0"/>
            </w:tcBorders>
            <w:vAlign w:val="center"/>
          </w:tcPr>
          <w:p w14:paraId="463A424D">
            <w:pPr>
              <w:pStyle w:val="11"/>
              <w:keepNext/>
              <w:keepLines/>
              <w:spacing w:line="360" w:lineRule="auto"/>
              <w:rPr>
                <w:rFonts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bCs/>
                <w:color w:val="CC0066"/>
                <w:sz w:val="21"/>
                <w:szCs w:val="22"/>
                <w:lang w:val="en-US" w:eastAsia="zh-CN" w:bidi="ar-SA"/>
              </w:rPr>
              <w:t>讲解大学生职业生涯规划</w:t>
            </w:r>
          </w:p>
          <w:p w14:paraId="3878ACB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b/>
                <w:bCs/>
                <w:color w:val="auto"/>
                <w:sz w:val="21"/>
                <w:szCs w:val="22"/>
                <w:lang w:val="en-US" w:eastAsia="zh-CN" w:bidi="ar-SA"/>
              </w:rPr>
            </w:pPr>
            <w:r>
              <w:rPr>
                <w:rFonts w:hint="eastAsia" w:ascii="Times New Roman" w:hAnsi="Times New Roman" w:cs="Times New Roman"/>
                <w:b/>
                <w:bCs/>
                <w:color w:val="auto"/>
                <w:sz w:val="21"/>
                <w:szCs w:val="22"/>
                <w:lang w:val="en-US" w:eastAsia="zh-CN" w:bidi="ar-SA"/>
              </w:rPr>
              <w:t>一、职业生涯规划的含义</w:t>
            </w:r>
          </w:p>
          <w:p w14:paraId="505E51F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职业生涯规划是指在对个人和内外环境因素进行分析的基础上对职业生涯乃至人生进行持续的系统的计划过程。职业生涯将贯穿人的一生。大学生职业生涯规划是指学生在大学期间进行系统的职业生涯规划的过程，它包括大学期间的学习规划、职业规划、爱情规划和生活规划。也就是在对一个人职业生涯的主客观条件进行测定、分析、总结研究的基础上，确定其最佳的职业奋斗目标，并为实现这一目标做出行之有效的安排。</w:t>
            </w:r>
          </w:p>
          <w:p w14:paraId="7249CFF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它的主要内容包括：自我认识（了解自己的性格倾向、职业兴趣及职业价值观定向）；确立目标（确定职业方向和目标，制定职业发展道路计划）；生涯规划（明确需要进行的自我学习、提升准备和行动计划）。</w:t>
            </w:r>
          </w:p>
          <w:p w14:paraId="57EA619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职业生涯规划是个人职业历程的首要环节，是实现事业目标，走向成功的第一步。因此，职业生涯设计不仅是当今就业形势和就业制度的要求，更是学生根据市场经济对劳动者的素质要求，有目的、有计划地塑造自己的客观需要。</w:t>
            </w:r>
          </w:p>
          <w:p w14:paraId="328BC86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b/>
                <w:bCs/>
                <w:color w:val="auto"/>
                <w:sz w:val="21"/>
                <w:szCs w:val="22"/>
                <w:lang w:val="en-US" w:eastAsia="zh-CN" w:bidi="ar-SA"/>
              </w:rPr>
            </w:pPr>
            <w:r>
              <w:rPr>
                <w:rFonts w:hint="eastAsia" w:ascii="Times New Roman" w:hAnsi="Times New Roman" w:cs="Times New Roman"/>
                <w:b/>
                <w:bCs/>
                <w:color w:val="auto"/>
                <w:sz w:val="21"/>
                <w:szCs w:val="22"/>
                <w:lang w:val="en-US" w:eastAsia="zh-CN" w:bidi="ar-SA"/>
              </w:rPr>
              <w:t>二、职业生涯规划的主要理论</w:t>
            </w:r>
          </w:p>
          <w:p w14:paraId="3343579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b/>
                <w:bCs/>
                <w:color w:val="auto"/>
                <w:sz w:val="21"/>
                <w:szCs w:val="22"/>
                <w:lang w:val="en-US" w:eastAsia="zh-CN" w:bidi="ar-SA"/>
              </w:rPr>
              <w:t>（一）霍兰德职业理论</w:t>
            </w:r>
          </w:p>
          <w:p w14:paraId="407DCAD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约翰·霍兰德（John Holland）是美国约翰·霍普金斯大学心理学教授，美国著名的职业指导专家。他于 1959 年提出了具有广泛社会影响的职业兴趣理论——人业互择理论，认为人的人格类型、兴趣与职业密切相关，兴趣是人们活动的巨大动力。凡是具有职业兴趣的职业都可以提高人们的积极性，促使人们积极地、愉快地从事该职业，且职业兴趣与人格之间存在很高的相关性。</w:t>
            </w:r>
          </w:p>
          <w:p w14:paraId="5107427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霍兰德的职业理论，其核心假设是人可以分为六大类，即现实型、研究型、社会型、传统型、企业型、艺术型。职业环境也可以分成相应的同样名称的六大类，人格与职业环境的匹配是形成职业满意度、成就感的基础。各个兴趣类型的特点及较为适宜的职业环境如表 6-1 所示。</w:t>
            </w:r>
          </w:p>
          <w:p w14:paraId="7931D46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人们通常倾向选择与自我兴趣类型匹配的职业环境，如具有现实型兴趣的人希望在现实型的职业环境中工作，这样可以最好地发挥个人的潜能。但职业选择中，个体并非一定要选择与自己兴趣完全对应的职业环境。一则因为个体本身常是多种兴趣类型的综合体，单一类型显著突出的情况不多，因此个体的兴趣类型也时常以其在六大类型中得分居前三位的类型组合而成。组合时根据分数的高低依次排列字母，构成其兴趣组型，如RCA、AIS 等；二则因为影响职业选择的因素是多方面的，不完全依据兴趣类型，还要参照社会的职业需求及获得职业的现实可能性。因此，职业选择时会不断妥协，寻求其相邻职业环境、甚至相隔职业环境，在这种环境中，个体需要逐渐适应工作环境。但如果个体寻找的是相对的职业环境，意味着所进入的是与自我兴趣完全不同的职业环境，则工作起来可能难以适应，或者难以做到工作时觉得很快乐，甚至可能会每天工作得很痛苦。</w:t>
            </w:r>
          </w:p>
          <w:p w14:paraId="761C242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drawing>
                <wp:inline distT="0" distB="0" distL="114300" distR="114300">
                  <wp:extent cx="3118485" cy="3717290"/>
                  <wp:effectExtent l="0" t="0" r="5715" b="165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3118485" cy="3717290"/>
                          </a:xfrm>
                          <a:prstGeom prst="rect">
                            <a:avLst/>
                          </a:prstGeom>
                          <a:noFill/>
                          <a:ln>
                            <a:noFill/>
                          </a:ln>
                        </pic:spPr>
                      </pic:pic>
                    </a:graphicData>
                  </a:graphic>
                </wp:inline>
              </w:drawing>
            </w:r>
          </w:p>
          <w:p w14:paraId="5FBF136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b/>
                <w:bCs/>
                <w:color w:val="auto"/>
                <w:sz w:val="21"/>
                <w:szCs w:val="22"/>
                <w:lang w:val="en-US" w:eastAsia="zh-CN" w:bidi="ar-SA"/>
              </w:rPr>
            </w:pPr>
            <w:r>
              <w:rPr>
                <w:rFonts w:hint="eastAsia" w:ascii="Times New Roman" w:hAnsi="Times New Roman" w:cs="Times New Roman"/>
                <w:b/>
                <w:bCs/>
                <w:color w:val="auto"/>
                <w:sz w:val="21"/>
                <w:szCs w:val="22"/>
                <w:lang w:val="en-US" w:eastAsia="zh-CN" w:bidi="ar-SA"/>
              </w:rPr>
              <w:t>（二）职业发展阶段理论</w:t>
            </w:r>
          </w:p>
          <w:p w14:paraId="048181E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职业发展理论主要有舒伯（Super）的发展理论及戈特弗雷德森（Gottfredsen）的职业抱负发展理论，下面我们主要介绍舒伯的发展理论。</w:t>
            </w:r>
          </w:p>
          <w:p w14:paraId="20DFDFB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舒伯认为，职业选择是一个发展的过程，而不是发生在某一时间点上的事件。他把生涯发展划分为成长、探索、建立、维持和衰退五个阶段，每个阶段都有特定的发展任务需要完成，每一阶段需达到一定的发展水准或成就水准，由一个阶段转换到另一个阶段中常常包括小的循环，即也要经历成长、探索、建立、维持和衰退的问题，也有可能在前进到另一个阶段之前退回到其他阶段。在每一个阶段中，都必须完成此阶段的发展任务以便能够进入下一个阶段。</w:t>
            </w:r>
          </w:p>
          <w:p w14:paraId="6DDACE8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（1）成长阶段（从出生到 14 岁）。该阶段包括四个主要任务：关心未来；增强对自己生活的控制能力；在学校和工作中取得成绩；获得胜任工作的习惯和态度。在该阶段末期，越来越有意识地关心长远的未来。</w:t>
            </w:r>
          </w:p>
          <w:p w14:paraId="4138644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（2）探索阶段（从 15 岁到 24 岁）。在该阶段中，职业选择范围缩小、已经选择或已经开始为职业做准备的教育或者培训。这一阶段是职业认同的阶段。该阶段的青少年，通过各种活动对自我及角色、职业进行探索。舒伯提出，该阶段的发展任务是：①结晶化，即个体在了解自我、了解职业信息的基础上，形成职业目标；②特定化，即将个人的职业自我概念转化成特定的教育选择或职业选择；③实施，即个体通过完成必要的训练和开始就业的过程。这三个阶段相当于我们通常所说的计划、准备和实践的过程。</w:t>
            </w:r>
          </w:p>
          <w:p w14:paraId="0B6D4B0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（3）建立阶段（从 25 岁到 44 岁）。由于经过上一阶段的尝试，个体开始确定自己在整个职业生涯中属于自己的位置。该阶段的任务包括工作的稳定、巩固和提升。</w:t>
            </w:r>
          </w:p>
          <w:p w14:paraId="0264B06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（4）维持阶段（从 45 岁到 65 岁）。个体仍希望继续保持属于自己的位置，同时又要面对新人的挑战。该阶段的任务包括保持一个人已经取得的成绩，更新知识和技能，创新做事的方法或发现新挑战。</w:t>
            </w:r>
          </w:p>
          <w:p w14:paraId="2F83155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Times New Roman" w:hAnsi="Times New Roman"/>
                <w:szCs w:val="24"/>
              </w:rPr>
            </w:pPr>
            <w:r>
              <w:rPr>
                <w:rFonts w:hint="eastAsia" w:ascii="Times New Roman" w:hAnsi="Times New Roman" w:cs="Times New Roman"/>
                <w:color w:val="auto"/>
                <w:sz w:val="21"/>
                <w:szCs w:val="22"/>
                <w:lang w:val="en-US" w:eastAsia="zh-CN" w:bidi="ar-SA"/>
              </w:rPr>
              <w:t>（5）衰退阶段（在 65 岁以上）。该阶段的主要任务是减轻工作负担、安排退休和开始退休生活。经过长时间的保持阶段，个体通常会体验到精力和兴趣的降低。在这个过程中，计划退休变成中心活动，最终从工作中分离，开始退休生活，并面对组织新的生活结构和不同生活方式的挑战。</w:t>
            </w:r>
          </w:p>
          <w:p w14:paraId="1974BCD7">
            <w:pPr>
              <w:spacing w:line="360" w:lineRule="auto"/>
              <w:rPr>
                <w:rFonts w:hint="eastAsia" w:ascii="Times New Roman" w:hAnsi="Times New Roman" w:cs="Times New Roman"/>
                <w:b/>
                <w:sz w:val="21"/>
                <w:szCs w:val="24"/>
                <w:lang w:val="en-US" w:eastAsia="zh-CN" w:bidi="ar-SA"/>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szCs w:val="24"/>
              </w:rPr>
              <w:t>讨论。</w:t>
            </w:r>
          </w:p>
        </w:tc>
        <w:tc>
          <w:tcPr>
            <w:tcW w:w="1617" w:type="dxa"/>
            <w:tcBorders>
              <w:top w:val="dashSmallGap" w:color="E54C5E" w:themeColor="accent6" w:sz="4" w:space="0"/>
              <w:left w:val="dashSmallGap" w:color="E54C5E" w:themeColor="accent6" w:sz="4" w:space="0"/>
              <w:bottom w:val="dashSmallGap" w:color="E54C5E" w:themeColor="accent6" w:sz="4" w:space="0"/>
            </w:tcBorders>
            <w:shd w:val="clear" w:color="auto" w:fill="auto"/>
            <w:vAlign w:val="center"/>
          </w:tcPr>
          <w:p w14:paraId="58794378">
            <w:pPr>
              <w:spacing w:line="360" w:lineRule="auto"/>
              <w:jc w:val="both"/>
              <w:rPr>
                <w:rFonts w:ascii="Times New Roman" w:hAnsi="Times New Roman"/>
                <w:b/>
                <w:szCs w:val="24"/>
              </w:rPr>
            </w:pPr>
            <w:r>
              <w:rPr>
                <w:rFonts w:hint="eastAsia" w:ascii="Times New Roman Bold" w:hAnsi="Times New Roman Bold"/>
                <w:b w:val="0"/>
                <w:bCs/>
                <w:spacing w:val="6"/>
                <w:sz w:val="21"/>
                <w:szCs w:val="24"/>
                <w:lang w:eastAsia="zh-CN"/>
              </w:rPr>
              <w:t>讲述大学生职业生涯规划</w:t>
            </w:r>
            <w:r>
              <w:rPr>
                <w:rFonts w:hint="eastAsia" w:ascii="Times New Roman Bold" w:hAnsi="Times New Roman Bold"/>
                <w:b w:val="0"/>
                <w:bCs/>
                <w:spacing w:val="6"/>
                <w:sz w:val="21"/>
                <w:szCs w:val="24"/>
              </w:rPr>
              <w:t>，组织学生讨论</w:t>
            </w:r>
            <w:r>
              <w:rPr>
                <w:rFonts w:hint="eastAsia" w:ascii="Times New Roman Bold" w:hAnsi="Times New Roman Bold"/>
                <w:b w:val="0"/>
                <w:bCs/>
                <w:spacing w:val="6"/>
                <w:sz w:val="21"/>
                <w:szCs w:val="24"/>
                <w:lang w:eastAsia="zh-CN"/>
              </w:rPr>
              <w:t>职业生涯规划的含义</w:t>
            </w:r>
            <w:r>
              <w:rPr>
                <w:rFonts w:hint="eastAsia" w:ascii="Times New Roman Bold" w:hAnsi="Times New Roman Bold"/>
                <w:b w:val="0"/>
                <w:bCs/>
                <w:spacing w:val="6"/>
                <w:sz w:val="21"/>
                <w:szCs w:val="24"/>
              </w:rPr>
              <w:t>，了解</w:t>
            </w:r>
            <w:r>
              <w:rPr>
                <w:rFonts w:hint="eastAsia" w:ascii="Times New Roman Bold" w:hAnsi="Times New Roman Bold"/>
                <w:b w:val="0"/>
                <w:bCs/>
                <w:spacing w:val="6"/>
                <w:sz w:val="21"/>
                <w:szCs w:val="24"/>
                <w:lang w:eastAsia="zh-CN"/>
              </w:rPr>
              <w:t>心理学</w:t>
            </w:r>
            <w:r>
              <w:rPr>
                <w:rFonts w:hint="eastAsia" w:ascii="Times New Roman Bold" w:hAnsi="Times New Roman Bold"/>
                <w:b w:val="0"/>
                <w:bCs/>
                <w:spacing w:val="6"/>
                <w:sz w:val="21"/>
                <w:szCs w:val="24"/>
              </w:rPr>
              <w:t>，进一步增强学生对</w:t>
            </w:r>
            <w:r>
              <w:rPr>
                <w:rFonts w:hint="eastAsia" w:ascii="Times New Roman Bold" w:hAnsi="Times New Roman Bold"/>
                <w:b w:val="0"/>
                <w:bCs/>
                <w:spacing w:val="6"/>
                <w:sz w:val="21"/>
                <w:szCs w:val="24"/>
                <w:lang w:eastAsia="zh-CN"/>
              </w:rPr>
              <w:t>心理学的认知</w:t>
            </w:r>
            <w:r>
              <w:rPr>
                <w:rFonts w:hint="eastAsia" w:ascii="Times New Roman Bold" w:hAnsi="Times New Roman Bold"/>
                <w:b w:val="0"/>
                <w:bCs/>
                <w:spacing w:val="6"/>
                <w:sz w:val="21"/>
                <w:szCs w:val="24"/>
              </w:rPr>
              <w:t>。</w:t>
            </w:r>
          </w:p>
        </w:tc>
      </w:tr>
      <w:tr w14:paraId="37E74533">
        <w:trPr>
          <w:trHeight w:val="567" w:hRule="atLeast"/>
          <w:jc w:val="center"/>
        </w:trPr>
        <w:tc>
          <w:tcPr>
            <w:tcW w:w="1538" w:type="dxa"/>
            <w:tcBorders>
              <w:top w:val="dashSmallGap" w:color="E54C5E" w:themeColor="accent6" w:sz="4" w:space="0"/>
              <w:bottom w:val="dashSmallGap" w:color="4874CB" w:themeColor="accent1" w:sz="4" w:space="0"/>
              <w:right w:val="dashSmallGap" w:color="F4B382" w:themeColor="accent2" w:themeTint="99" w:sz="4" w:space="0"/>
            </w:tcBorders>
            <w:shd w:val="clear" w:color="auto" w:fill="FBE6D6" w:themeFill="accent2" w:themeFillTint="32"/>
            <w:vAlign w:val="center"/>
          </w:tcPr>
          <w:p w14:paraId="74CE112B">
            <w:pPr>
              <w:spacing w:line="360" w:lineRule="auto"/>
              <w:jc w:val="center"/>
              <w:rPr>
                <w:rFonts w:ascii="微软雅黑" w:hAnsi="微软雅黑" w:eastAsia="微软雅黑"/>
                <w:b/>
                <w:color w:val="843F0B" w:themeColor="accent2" w:themeShade="80"/>
                <w:sz w:val="24"/>
                <w:szCs w:val="24"/>
              </w:rPr>
            </w:pPr>
            <w:r>
              <w:rPr>
                <w:rFonts w:hint="eastAsia" w:ascii="微软雅黑" w:hAnsi="微软雅黑" w:eastAsia="微软雅黑"/>
                <w:b/>
                <w:color w:val="843F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F0B" w:themeColor="accent2" w:themeShade="80"/>
                <w:szCs w:val="24"/>
              </w:rPr>
              <w:t>（</w:t>
            </w:r>
            <w:r>
              <w:rPr>
                <w:rFonts w:hint="eastAsia" w:ascii="Times New Roman" w:hAnsi="Times New Roman"/>
                <w:color w:val="843F0B" w:themeColor="accent2" w:themeShade="80"/>
                <w:szCs w:val="24"/>
                <w:lang w:val="en-US" w:eastAsia="zh-CN"/>
              </w:rPr>
              <w:t>40</w:t>
            </w:r>
            <w:r>
              <w:rPr>
                <w:rFonts w:hint="eastAsia" w:ascii="Times New Roman" w:hAnsi="Times New Roman"/>
                <w:color w:val="843F0B" w:themeColor="accent2" w:themeShade="80"/>
                <w:szCs w:val="24"/>
              </w:rPr>
              <w:t>min</w:t>
            </w:r>
            <w:r>
              <w:rPr>
                <w:rFonts w:ascii="Times New Roman" w:hAnsi="Times New Roman"/>
                <w:color w:val="843F0B" w:themeColor="accent2" w:themeShade="80"/>
                <w:szCs w:val="24"/>
              </w:rPr>
              <w:t>）</w:t>
            </w:r>
          </w:p>
        </w:tc>
        <w:tc>
          <w:tcPr>
            <w:tcW w:w="7050" w:type="dxa"/>
            <w:tcBorders>
              <w:top w:val="dashSmallGap" w:color="E54C5E" w:themeColor="accent6" w:sz="4" w:space="0"/>
              <w:left w:val="dashSmallGap" w:color="F4B382" w:themeColor="accent2" w:themeTint="99" w:sz="4" w:space="0"/>
              <w:bottom w:val="dashSmallGap" w:color="4874CB" w:themeColor="accent1" w:sz="4" w:space="0"/>
              <w:right w:val="dashSmallGap" w:color="F4B382" w:themeColor="accent2" w:themeTint="99" w:sz="4" w:space="0"/>
            </w:tcBorders>
            <w:vAlign w:val="center"/>
          </w:tcPr>
          <w:p w14:paraId="3D71E32C">
            <w:pPr>
              <w:widowControl/>
              <w:spacing w:line="360" w:lineRule="auto"/>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lang w:val="en-US" w:eastAsia="zh-CN"/>
              </w:rPr>
              <w:t>讲解大学期间职业生涯规划的制定</w:t>
            </w:r>
          </w:p>
          <w:p w14:paraId="625DD215">
            <w:pPr>
              <w:widowControl/>
              <w:spacing w:line="360" w:lineRule="auto"/>
              <w:ind w:left="-19" w:leftChars="-9" w:firstLine="439" w:firstLineChars="209"/>
              <w:rPr>
                <w:rFonts w:hint="eastAsia" w:ascii="Times New Roman" w:hAnsi="Times New Roman"/>
                <w:b/>
                <w:bCs/>
              </w:rPr>
            </w:pPr>
            <w:r>
              <w:rPr>
                <w:rFonts w:hint="eastAsia" w:ascii="Times New Roman" w:hAnsi="Times New Roman"/>
                <w:b/>
                <w:bCs/>
              </w:rPr>
              <w:t>一、职业生涯规划的步骤</w:t>
            </w:r>
          </w:p>
          <w:p w14:paraId="1A125F2C">
            <w:pPr>
              <w:widowControl/>
              <w:spacing w:line="360" w:lineRule="auto"/>
              <w:ind w:left="-19" w:leftChars="-9" w:firstLine="438" w:firstLineChars="209"/>
              <w:rPr>
                <w:rFonts w:hint="eastAsia" w:ascii="Times New Roman" w:hAnsi="Times New Roman"/>
              </w:rPr>
            </w:pPr>
            <w:r>
              <w:rPr>
                <w:rFonts w:hint="eastAsia" w:ascii="Times New Roman" w:hAnsi="Times New Roman"/>
              </w:rPr>
              <w:t>一个完整有效的职业生涯规划应包括自我评估、职业环境分析、职业目标的确定、制定策略与措施以及反馈与评估五个环节。</w:t>
            </w:r>
          </w:p>
          <w:p w14:paraId="2EB74740">
            <w:pPr>
              <w:widowControl/>
              <w:spacing w:line="360" w:lineRule="auto"/>
              <w:ind w:left="-19" w:leftChars="-9" w:firstLine="439" w:firstLineChars="209"/>
              <w:rPr>
                <w:rFonts w:hint="eastAsia" w:ascii="Times New Roman" w:hAnsi="Times New Roman"/>
                <w:b/>
                <w:bCs/>
              </w:rPr>
            </w:pPr>
            <w:r>
              <w:rPr>
                <w:rFonts w:hint="eastAsia" w:ascii="Times New Roman" w:hAnsi="Times New Roman"/>
                <w:b/>
                <w:bCs/>
              </w:rPr>
              <w:t>（一）自我评估</w:t>
            </w:r>
          </w:p>
          <w:p w14:paraId="00477861">
            <w:pPr>
              <w:widowControl/>
              <w:spacing w:line="360" w:lineRule="auto"/>
              <w:ind w:left="-19" w:leftChars="-9" w:firstLine="438" w:firstLineChars="209"/>
              <w:rPr>
                <w:rFonts w:hint="eastAsia" w:ascii="Times New Roman" w:hAnsi="Times New Roman"/>
              </w:rPr>
            </w:pPr>
            <w:r>
              <w:rPr>
                <w:rFonts w:hint="eastAsia" w:ascii="Times New Roman" w:hAnsi="Times New Roman"/>
              </w:rPr>
              <w:t>自我评估是对自己做出全面的分析，个人职业生涯规划的第一个关键环节是进行正确的评估。在进行职业生涯规划时，同学们考虑更多的是“我想从事什么职业”“我想在未来的职业生涯中达到什么样的目标”，很少能用“我能干什么”的眼光来客观地审视自己。在这样的心态下所制定的职业理想很容易脱离自己的实际情况，也就无法实现。因此，需要对自己的兴趣、特长、性格、学识、技能、智商、情商、德商、组织管理、协调、活动能力等做出一个全面、客观、准确的分析和评价，找出自己的优势、劣势，优点、缺点，为选定生涯路线、目标、制订生涯计划提供依据。</w:t>
            </w:r>
          </w:p>
          <w:p w14:paraId="2B6C5C7E">
            <w:pPr>
              <w:widowControl/>
              <w:spacing w:line="360" w:lineRule="auto"/>
              <w:ind w:left="-19" w:leftChars="-9" w:firstLine="438" w:firstLineChars="209"/>
              <w:rPr>
                <w:rFonts w:hint="eastAsia" w:ascii="Times New Roman" w:hAnsi="Times New Roman"/>
              </w:rPr>
            </w:pPr>
            <w:r>
              <w:rPr>
                <w:rFonts w:hint="eastAsia" w:ascii="Times New Roman" w:hAnsi="Times New Roman"/>
              </w:rPr>
              <w:t>具体来说，自我评估主要有以下几个方面：</w:t>
            </w:r>
          </w:p>
          <w:p w14:paraId="34E0688B">
            <w:pPr>
              <w:widowControl/>
              <w:spacing w:line="360" w:lineRule="auto"/>
              <w:ind w:left="-19" w:leftChars="-9" w:firstLine="438" w:firstLineChars="209"/>
              <w:rPr>
                <w:rFonts w:hint="eastAsia" w:ascii="Times New Roman" w:hAnsi="Times New Roman"/>
                <w:b w:val="0"/>
                <w:bCs w:val="0"/>
                <w:color w:val="EB4691"/>
              </w:rPr>
            </w:pPr>
            <w:r>
              <w:rPr>
                <w:rFonts w:hint="eastAsia" w:ascii="Times New Roman" w:hAnsi="Times New Roman"/>
                <w:b w:val="0"/>
                <w:bCs w:val="0"/>
                <w:color w:val="EB4691"/>
              </w:rPr>
              <w:t>1. 评估自己的现实条件</w:t>
            </w:r>
          </w:p>
          <w:p w14:paraId="2E0F34DE">
            <w:pPr>
              <w:widowControl/>
              <w:spacing w:line="360" w:lineRule="auto"/>
              <w:ind w:left="-19" w:leftChars="-9" w:firstLine="438" w:firstLineChars="209"/>
              <w:rPr>
                <w:rFonts w:hint="eastAsia" w:ascii="Times New Roman" w:hAnsi="Times New Roman"/>
              </w:rPr>
            </w:pPr>
            <w:r>
              <w:rPr>
                <w:rFonts w:hint="eastAsia" w:ascii="Times New Roman" w:hAnsi="Times New Roman"/>
              </w:rPr>
              <w:t>“尺有所短，寸有所长”，每个人都有自己的长处和不足。在进行职业生涯设计时，要根据社会职业的需要来全面分析自身条件。自我评估是个人职业生涯规划的基础，也是获得可行的规划方案的前提。一个人只有通过自我评估，正确深刻地认识和了解自己，才能对未来的职业生涯作出最佳抉择。如果忽略了自我评估，所做的职业生涯规划很容易中途夭折。测试一下自己的职业兴趣、职业性格、职业能力等相关素质，以确定自己的职业特长，发挥自己的优势。</w:t>
            </w:r>
          </w:p>
          <w:p w14:paraId="2E77C21E">
            <w:pPr>
              <w:widowControl/>
              <w:spacing w:line="360" w:lineRule="auto"/>
              <w:ind w:left="-19" w:leftChars="-9" w:firstLine="438" w:firstLineChars="209"/>
              <w:rPr>
                <w:rFonts w:hint="eastAsia" w:ascii="Times New Roman" w:hAnsi="Times New Roman"/>
                <w:color w:val="EB4691"/>
              </w:rPr>
            </w:pPr>
            <w:r>
              <w:rPr>
                <w:rFonts w:hint="eastAsia" w:ascii="Times New Roman" w:hAnsi="Times New Roman"/>
                <w:color w:val="EB4691"/>
              </w:rPr>
              <w:t>2. 预测自己的职业发展潜力</w:t>
            </w:r>
          </w:p>
          <w:p w14:paraId="08F3F119">
            <w:pPr>
              <w:widowControl/>
              <w:spacing w:line="360" w:lineRule="auto"/>
              <w:ind w:left="-19" w:leftChars="-9" w:firstLine="438" w:firstLineChars="209"/>
              <w:rPr>
                <w:rFonts w:hint="eastAsia" w:ascii="Times New Roman" w:hAnsi="Times New Roman"/>
              </w:rPr>
            </w:pPr>
            <w:r>
              <w:rPr>
                <w:rFonts w:hint="eastAsia" w:ascii="Times New Roman" w:hAnsi="Times New Roman"/>
              </w:rPr>
              <w:t>对大学生来说，职业生涯是未来的事，要分析自己潜在的条件，寻找到哪些是经过努力可能达到和具备的条件。这既是确定职业目标的重要根据，也是制定具体方法和措施的基础。</w:t>
            </w:r>
          </w:p>
          <w:p w14:paraId="6BF325FC">
            <w:pPr>
              <w:widowControl/>
              <w:spacing w:line="360" w:lineRule="auto"/>
              <w:ind w:left="-19" w:leftChars="-9" w:firstLine="438" w:firstLineChars="209"/>
              <w:rPr>
                <w:rFonts w:hint="eastAsia" w:ascii="Times New Roman" w:hAnsi="Times New Roman"/>
                <w:color w:val="EB4691"/>
              </w:rPr>
            </w:pPr>
            <w:r>
              <w:rPr>
                <w:rFonts w:hint="eastAsia" w:ascii="Times New Roman" w:hAnsi="Times New Roman"/>
                <w:color w:val="EB4691"/>
              </w:rPr>
              <w:t>3. 分析就业环境及其变化趋势</w:t>
            </w:r>
          </w:p>
          <w:p w14:paraId="779747CC">
            <w:pPr>
              <w:widowControl/>
              <w:spacing w:line="360" w:lineRule="auto"/>
              <w:ind w:left="-19" w:leftChars="-9" w:firstLine="438" w:firstLineChars="209"/>
              <w:rPr>
                <w:rFonts w:hint="eastAsia" w:ascii="Times New Roman" w:hAnsi="Times New Roman"/>
              </w:rPr>
            </w:pPr>
            <w:r>
              <w:rPr>
                <w:rFonts w:hint="eastAsia" w:ascii="Times New Roman" w:hAnsi="Times New Roman"/>
              </w:rPr>
              <w:t>由于经济、文化、科技、教育等社会因素发展的不平衡，导致职业发展、就业环境存在着差异性。因此，要分析就业环境，分析地区、社会、经济、科技等的发展情况，以及将要从事的职业在社会中的地位等因素。同时，还应认识到，就业环境不是一成不变的。在职业生涯规划时，要充分了解社会发展趋势对职业影响的程度，从而使自己的设计能够更好地与之相结合。</w:t>
            </w:r>
          </w:p>
          <w:p w14:paraId="1BF56B17">
            <w:pPr>
              <w:widowControl/>
              <w:spacing w:line="360" w:lineRule="auto"/>
              <w:ind w:left="-19" w:leftChars="-9" w:firstLine="438" w:firstLineChars="209"/>
              <w:rPr>
                <w:rFonts w:hint="eastAsia" w:ascii="Times New Roman" w:hAnsi="Times New Roman"/>
                <w:color w:val="EB4691"/>
              </w:rPr>
            </w:pPr>
            <w:r>
              <w:rPr>
                <w:rFonts w:hint="eastAsia" w:ascii="Times New Roman" w:hAnsi="Times New Roman"/>
                <w:color w:val="EB4691"/>
              </w:rPr>
              <w:t>4. 寻找自身差距，找到弥补方法</w:t>
            </w:r>
          </w:p>
          <w:p w14:paraId="6C8D7A4A">
            <w:pPr>
              <w:widowControl/>
              <w:spacing w:line="360" w:lineRule="auto"/>
              <w:ind w:left="-19" w:leftChars="-9" w:firstLine="438" w:firstLineChars="209"/>
              <w:rPr>
                <w:rFonts w:hint="eastAsia" w:ascii="Times New Roman" w:hAnsi="Times New Roman"/>
              </w:rPr>
            </w:pPr>
            <w:r>
              <w:rPr>
                <w:rFonts w:hint="eastAsia" w:ascii="Times New Roman" w:hAnsi="Times New Roman"/>
              </w:rPr>
              <w:t>通过分析自己的现实条件和潜在发展能力，以及职业对劳动者素质的要求，就会寻找到自身条件与职业要求之间的差距，制定弥补这些差距的措施和规划。这就需要大学生深入了解相关职业的有关情况，如职业资格、职业标准、职业道德规范等，做到有的放矢。</w:t>
            </w:r>
          </w:p>
          <w:p w14:paraId="56D68D52">
            <w:pPr>
              <w:widowControl/>
              <w:spacing w:line="360" w:lineRule="auto"/>
              <w:ind w:left="-19" w:leftChars="-9" w:firstLine="439" w:firstLineChars="209"/>
              <w:rPr>
                <w:rFonts w:hint="eastAsia" w:ascii="Times New Roman" w:hAnsi="Times New Roman"/>
                <w:b/>
                <w:bCs/>
              </w:rPr>
            </w:pPr>
            <w:r>
              <w:rPr>
                <w:rFonts w:hint="eastAsia" w:ascii="Times New Roman" w:hAnsi="Times New Roman"/>
                <w:b/>
                <w:bCs/>
              </w:rPr>
              <w:t>（二）职业发展目标的确定</w:t>
            </w:r>
          </w:p>
          <w:p w14:paraId="63062E70">
            <w:pPr>
              <w:widowControl/>
              <w:spacing w:line="360" w:lineRule="auto"/>
              <w:ind w:left="-19" w:leftChars="-9" w:firstLine="438" w:firstLineChars="209"/>
              <w:rPr>
                <w:rFonts w:hint="eastAsia" w:ascii="Times New Roman" w:hAnsi="Times New Roman"/>
              </w:rPr>
            </w:pPr>
            <w:r>
              <w:rPr>
                <w:rFonts w:hint="eastAsia" w:ascii="Times New Roman" w:hAnsi="Times New Roman"/>
              </w:rPr>
              <w:t>明确的目标是前进的动力。从职业生涯发展的角度来看，职业目标包括近期目标和中、远期目标。近期目标是在最近几年内、最近几个月内能够实现的目标，如干出什么成绩、晋升到什么职位、接受什么样的学习和培训等；中、远期目标则与自己的人生追求相接近，如成为部门经理等。通常中、远期目标指明发展方向，而近期目标更多是比较具体与职业生涯发展的总体方向一致的。只有不断地实现自己的近期目标，才可能使自己职业生涯的中、远期目标得以实现。</w:t>
            </w:r>
          </w:p>
          <w:p w14:paraId="2D72F41C">
            <w:pPr>
              <w:widowControl/>
              <w:spacing w:line="360" w:lineRule="auto"/>
              <w:ind w:left="-19" w:leftChars="-9" w:firstLine="438" w:firstLineChars="209"/>
              <w:rPr>
                <w:rFonts w:hint="eastAsia" w:ascii="Times New Roman" w:hAnsi="Times New Roman"/>
              </w:rPr>
            </w:pPr>
            <w:r>
              <w:rPr>
                <w:rFonts w:hint="eastAsia" w:ascii="Times New Roman" w:hAnsi="Times New Roman"/>
              </w:rPr>
              <w:t>制定目标应考虑到两方面因素：一是外部因素，即社会经济发展的需要和面临的就业环境；二是内部因素，即自身的素质，包括现实的素质条件和未来可能达到的素质条件。只有这样，制订的职业目标才是准确的。</w:t>
            </w:r>
          </w:p>
          <w:p w14:paraId="55153BEE">
            <w:pPr>
              <w:widowControl/>
              <w:spacing w:line="360" w:lineRule="auto"/>
              <w:ind w:left="-19" w:leftChars="-9" w:firstLine="439" w:firstLineChars="209"/>
              <w:rPr>
                <w:rFonts w:hint="eastAsia" w:ascii="Times New Roman" w:hAnsi="Times New Roman"/>
                <w:b/>
                <w:bCs/>
              </w:rPr>
            </w:pPr>
            <w:r>
              <w:rPr>
                <w:rFonts w:hint="eastAsia" w:ascii="Times New Roman" w:hAnsi="Times New Roman"/>
                <w:b/>
                <w:bCs/>
              </w:rPr>
              <w:t>（三）发展阶段的设计</w:t>
            </w:r>
          </w:p>
          <w:p w14:paraId="4141EAB5">
            <w:pPr>
              <w:widowControl/>
              <w:spacing w:line="360" w:lineRule="auto"/>
              <w:ind w:left="-19" w:leftChars="-9" w:firstLine="438" w:firstLineChars="209"/>
              <w:rPr>
                <w:rFonts w:hint="eastAsia" w:ascii="Times New Roman" w:hAnsi="Times New Roman"/>
              </w:rPr>
            </w:pPr>
            <w:r>
              <w:rPr>
                <w:rFonts w:hint="eastAsia" w:ascii="Times New Roman" w:hAnsi="Times New Roman"/>
              </w:rPr>
              <w:t>实现职业理想，不是一蹴而就的，要靠每一个阶段目标的实现而达到。因此，在进行职业生涯规划时，要把自己的职业生涯分解为若干个具体的阶段，并确定各阶段的分目标。将这些阶段作为迈向最终目标的一个个阶梯，通过阶段目标的实现，逐步实现自己的职业理想。一般意义上讲，职业生涯的阶段可以分为准备阶段、实习阶段、选择阶段、定向阶段、发展阶段、实现阶段等。</w:t>
            </w:r>
          </w:p>
          <w:p w14:paraId="437C325F">
            <w:pPr>
              <w:widowControl/>
              <w:spacing w:line="360" w:lineRule="auto"/>
              <w:ind w:left="-19" w:leftChars="-9" w:firstLine="438" w:firstLineChars="209"/>
              <w:rPr>
                <w:rFonts w:hint="eastAsia" w:ascii="Times New Roman" w:hAnsi="Times New Roman"/>
              </w:rPr>
            </w:pPr>
            <w:r>
              <w:rPr>
                <w:rFonts w:hint="eastAsia" w:ascii="Times New Roman" w:hAnsi="Times New Roman"/>
              </w:rPr>
              <w:t>制定阶段目标时要注意以下几点：一是不宜过高，遥不可及的目标是没有任何实际意义的；二是不能过低，不经过努力就达到的目标，不仅不能激励人们奋发向上，反而会降低人们的动机和热情；三是不要笼统和模糊，要能让自己从目标中找到具体的差距和不足。</w:t>
            </w:r>
          </w:p>
          <w:p w14:paraId="43CC272F">
            <w:pPr>
              <w:widowControl/>
              <w:spacing w:line="360" w:lineRule="auto"/>
              <w:ind w:left="-19" w:leftChars="-9" w:firstLine="439" w:firstLineChars="209"/>
              <w:rPr>
                <w:rFonts w:hint="eastAsia" w:ascii="Times New Roman" w:hAnsi="Times New Roman"/>
                <w:b/>
                <w:bCs/>
              </w:rPr>
            </w:pPr>
            <w:r>
              <w:rPr>
                <w:rFonts w:hint="eastAsia" w:ascii="Times New Roman" w:hAnsi="Times New Roman"/>
                <w:b/>
                <w:bCs/>
              </w:rPr>
              <w:t>（四）措施的制定</w:t>
            </w:r>
          </w:p>
          <w:p w14:paraId="0284EAED">
            <w:pPr>
              <w:widowControl/>
              <w:spacing w:line="360" w:lineRule="auto"/>
              <w:ind w:left="-19" w:leftChars="-9" w:firstLine="438" w:firstLineChars="209"/>
              <w:rPr>
                <w:rFonts w:hint="eastAsia" w:ascii="Times New Roman" w:hAnsi="Times New Roman"/>
              </w:rPr>
            </w:pPr>
            <w:r>
              <w:rPr>
                <w:rFonts w:hint="eastAsia" w:ascii="Times New Roman" w:hAnsi="Times New Roman"/>
              </w:rPr>
              <w:t>在职业生涯规划中，措施是实现目标的重要保证，再完美的目标，如果没有具体的行动和措施来保证，也只能是纸上谈兵。大学生一般要根据自己的职业目标和实际情况，制订出可行的措施，在时间上作出具体安排，以确保目标的实现，从而使职业生涯更加美好而辉煌。</w:t>
            </w:r>
          </w:p>
          <w:p w14:paraId="215E76E7">
            <w:pPr>
              <w:widowControl/>
              <w:spacing w:line="360" w:lineRule="auto"/>
              <w:ind w:left="-19" w:leftChars="-9" w:firstLine="439" w:firstLineChars="209"/>
              <w:rPr>
                <w:rFonts w:hint="eastAsia" w:ascii="Times New Roman" w:hAnsi="Times New Roman"/>
                <w:b/>
                <w:bCs/>
              </w:rPr>
            </w:pPr>
            <w:r>
              <w:rPr>
                <w:rFonts w:hint="eastAsia" w:ascii="Times New Roman" w:hAnsi="Times New Roman"/>
                <w:b/>
                <w:bCs/>
              </w:rPr>
              <w:t>二、职业生涯规划应注意的问题</w:t>
            </w:r>
          </w:p>
          <w:p w14:paraId="48592304">
            <w:pPr>
              <w:widowControl/>
              <w:spacing w:line="360" w:lineRule="auto"/>
              <w:ind w:left="-19" w:leftChars="-9" w:firstLine="438" w:firstLineChars="209"/>
              <w:rPr>
                <w:rFonts w:hint="eastAsia" w:ascii="Times New Roman" w:hAnsi="Times New Roman"/>
              </w:rPr>
            </w:pPr>
            <w:r>
              <w:rPr>
                <w:rFonts w:hint="eastAsia" w:ascii="Times New Roman" w:hAnsi="Times New Roman"/>
              </w:rPr>
              <w:t>一般来说，一个人的职业规划是在大学期间渐渐形成的，高考填报志愿自然也是重要一步。作为新世纪大学生，职业生涯规划应注意哪些问题呢？</w:t>
            </w:r>
          </w:p>
          <w:p w14:paraId="477D0923">
            <w:pPr>
              <w:widowControl/>
              <w:spacing w:line="360" w:lineRule="auto"/>
              <w:ind w:left="-19" w:leftChars="-9" w:firstLine="438" w:firstLineChars="209"/>
              <w:rPr>
                <w:rFonts w:hint="eastAsia" w:ascii="Times New Roman" w:hAnsi="Times New Roman"/>
                <w:color w:val="EB4691"/>
              </w:rPr>
            </w:pPr>
            <w:r>
              <w:rPr>
                <w:rFonts w:hint="eastAsia" w:ascii="Times New Roman" w:hAnsi="Times New Roman"/>
                <w:color w:val="EB4691"/>
              </w:rPr>
              <w:t>1. 树立正确的职业理想，确立明确的职业目标</w:t>
            </w:r>
          </w:p>
          <w:p w14:paraId="254E6A32">
            <w:pPr>
              <w:widowControl/>
              <w:spacing w:line="360" w:lineRule="auto"/>
              <w:ind w:left="-19" w:leftChars="-9" w:firstLine="438" w:firstLineChars="209"/>
              <w:rPr>
                <w:rFonts w:hint="eastAsia" w:ascii="Times New Roman" w:hAnsi="Times New Roman"/>
              </w:rPr>
            </w:pPr>
            <w:r>
              <w:rPr>
                <w:rFonts w:hint="eastAsia" w:ascii="Times New Roman" w:hAnsi="Times New Roman"/>
              </w:rPr>
              <w:t>职业理想是指人们对未来职业表现出来的一种强烈的追求和向往，是人们对未来职业生活的构想和规划。职业理想受社会环境、社会现实制约：凡是符合社会发展需要和人民利益的职业理想都是高尚的、正确的，并具有现实的可行性。大学生的职业理想应把个人志向与国家利益和社会需要有机地结合起来。</w:t>
            </w:r>
          </w:p>
          <w:p w14:paraId="46A9F873">
            <w:pPr>
              <w:widowControl/>
              <w:spacing w:line="360" w:lineRule="auto"/>
              <w:ind w:left="-19" w:leftChars="-9" w:firstLine="438" w:firstLineChars="209"/>
              <w:rPr>
                <w:rFonts w:hint="eastAsia" w:ascii="Times New Roman" w:hAnsi="Times New Roman"/>
              </w:rPr>
            </w:pPr>
            <w:r>
              <w:rPr>
                <w:rFonts w:hint="eastAsia" w:ascii="Times New Roman" w:hAnsi="Times New Roman"/>
              </w:rPr>
              <w:t>哈佛大学有一个非常著名的关于目标对人生影响的跟踪调查。该项调查的对象是一群智力、学历、环境等条件都差不多的年轻人，调查结果发现：27% 的人，没有目标；60% 的人，目标模糊；10% 的人，有比较清晰的短期目标；3% 的人，有十分清晰的长期目标。</w:t>
            </w:r>
          </w:p>
          <w:p w14:paraId="3716DB3C">
            <w:pPr>
              <w:widowControl/>
              <w:spacing w:line="360" w:lineRule="auto"/>
              <w:ind w:left="-19" w:leftChars="-9" w:firstLine="438" w:firstLineChars="209"/>
              <w:rPr>
                <w:rFonts w:hint="eastAsia" w:ascii="Times New Roman" w:hAnsi="Times New Roman"/>
              </w:rPr>
            </w:pPr>
            <w:r>
              <w:rPr>
                <w:rFonts w:hint="eastAsia" w:ascii="Times New Roman" w:hAnsi="Times New Roman"/>
              </w:rPr>
              <w:t>25 年的跟踪调查发现，他们的生活状况十分有意思……</w:t>
            </w:r>
          </w:p>
          <w:p w14:paraId="1FA289B5">
            <w:pPr>
              <w:widowControl/>
              <w:spacing w:line="360" w:lineRule="auto"/>
              <w:ind w:left="-19" w:leftChars="-9" w:firstLine="438" w:firstLineChars="209"/>
              <w:rPr>
                <w:rFonts w:hint="eastAsia" w:ascii="Times New Roman" w:hAnsi="Times New Roman"/>
              </w:rPr>
            </w:pPr>
            <w:r>
              <w:rPr>
                <w:rFonts w:hint="eastAsia" w:ascii="Times New Roman" w:hAnsi="Times New Roman"/>
              </w:rPr>
              <w:t>3%——几乎不曾更改过自己的人生目标。25 年后，他们几乎都成了社会各界顶尖成功人士，他们中不乏白手创业者、行业领袖、社会精英。</w:t>
            </w:r>
          </w:p>
          <w:p w14:paraId="665569D2">
            <w:pPr>
              <w:widowControl/>
              <w:spacing w:line="360" w:lineRule="auto"/>
              <w:ind w:left="-19" w:leftChars="-9" w:firstLine="438" w:firstLineChars="209"/>
              <w:rPr>
                <w:rFonts w:hint="eastAsia" w:ascii="Times New Roman" w:hAnsi="Times New Roman"/>
              </w:rPr>
            </w:pPr>
            <w:r>
              <w:rPr>
                <w:rFonts w:hint="eastAsia" w:ascii="Times New Roman" w:hAnsi="Times New Roman"/>
              </w:rPr>
              <w:t>10%——大都生活在社会的上层。其共同特点是那些短期目标不断地被达到，生活质量稳步上升。他们成为各行各业不可缺少的专业人士，如医生、律师、工程师、高级主管等等。</w:t>
            </w:r>
          </w:p>
          <w:p w14:paraId="10C2999C">
            <w:pPr>
              <w:widowControl/>
              <w:spacing w:line="360" w:lineRule="auto"/>
              <w:ind w:left="-19" w:leftChars="-9" w:firstLine="438" w:firstLineChars="209"/>
              <w:rPr>
                <w:rFonts w:hint="eastAsia" w:ascii="Times New Roman" w:hAnsi="Times New Roman"/>
              </w:rPr>
            </w:pPr>
            <w:r>
              <w:rPr>
                <w:rFonts w:hint="eastAsia" w:ascii="Times New Roman" w:hAnsi="Times New Roman"/>
              </w:rPr>
              <w:t>60%——几乎都生活在社会的中下层面。他们能安稳地生活与工作，但都没有什么特别的成绩。</w:t>
            </w:r>
          </w:p>
          <w:p w14:paraId="549A95C1">
            <w:pPr>
              <w:widowControl/>
              <w:spacing w:line="360" w:lineRule="auto"/>
              <w:ind w:left="-19" w:leftChars="-9" w:firstLine="438" w:firstLineChars="209"/>
              <w:rPr>
                <w:rFonts w:hint="eastAsia" w:ascii="Times New Roman" w:hAnsi="Times New Roman"/>
              </w:rPr>
            </w:pPr>
            <w:r>
              <w:rPr>
                <w:rFonts w:hint="eastAsia" w:ascii="Times New Roman" w:hAnsi="Times New Roman"/>
              </w:rPr>
              <w:t>27%——几乎都生活在社会的最底层，生活都过得很不如意，常常失业，靠社会救济，常常在抱怨他人，抱怨社会。</w:t>
            </w:r>
          </w:p>
          <w:p w14:paraId="5C437F79">
            <w:pPr>
              <w:widowControl/>
              <w:spacing w:line="360" w:lineRule="auto"/>
              <w:ind w:left="-19" w:leftChars="-9" w:firstLine="438" w:firstLineChars="209"/>
              <w:jc w:val="both"/>
              <w:rPr>
                <w:rFonts w:hint="eastAsia" w:ascii="Times New Roman" w:hAnsi="Times New Roman"/>
                <w:lang w:eastAsia="zh-CN"/>
              </w:rPr>
            </w:pPr>
            <w:r>
              <w:rPr>
                <w:rFonts w:ascii="Times New Roman" w:hAnsi="Times New Roman" w:eastAsia="宋体" w:cs="Times New Roman"/>
                <w:kern w:val="2"/>
                <w:sz w:val="21"/>
                <w:szCs w:val="24"/>
                <w:lang w:bidi="ar-SA"/>
              </w:rPr>
              <w:t>成功始于选择。目标决定成就和人生。职业理想指导职业生涯规划。选择职业基于理想。大学生在树立职业理想时，也在设计自己的职业生涯。理想职业指引学习和实践准备。因此，大学生应迅速确定职业目标，如专业领域和成才方向，这将影响职业规划和个人成功机会。</w:t>
            </w:r>
          </w:p>
          <w:p w14:paraId="52CCE287">
            <w:pPr>
              <w:widowControl/>
              <w:spacing w:line="360" w:lineRule="auto"/>
              <w:ind w:left="-19" w:leftChars="-9" w:firstLine="438" w:firstLineChars="209"/>
              <w:rPr>
                <w:rFonts w:hint="eastAsia" w:ascii="Times New Roman" w:hAnsi="Times New Roman"/>
                <w:b w:val="0"/>
                <w:bCs w:val="0"/>
                <w:color w:val="EB4691"/>
              </w:rPr>
            </w:pPr>
            <w:r>
              <w:rPr>
                <w:rFonts w:hint="eastAsia" w:ascii="Times New Roman" w:hAnsi="Times New Roman"/>
                <w:b w:val="0"/>
                <w:bCs w:val="0"/>
                <w:color w:val="EB4691"/>
              </w:rPr>
              <w:t>2. 正确进行自我分析和职业分析</w:t>
            </w:r>
          </w:p>
          <w:p w14:paraId="2F839BAA">
            <w:pPr>
              <w:widowControl/>
              <w:spacing w:line="360" w:lineRule="auto"/>
              <w:ind w:left="-19" w:leftChars="-9" w:firstLine="438" w:firstLineChars="209"/>
              <w:rPr>
                <w:rFonts w:hint="eastAsia" w:ascii="Times New Roman" w:hAnsi="Times New Roman"/>
              </w:rPr>
            </w:pPr>
            <w:r>
              <w:rPr>
                <w:rFonts w:hint="eastAsia" w:ascii="Times New Roman" w:hAnsi="Times New Roman"/>
              </w:rPr>
              <w:t>自我分析：要通过科学的方法和手段，对自己的职业兴趣、气质、性格、能力等进行全面认识，清楚自己的优势与特长、劣势与不足。自我分析要客观、冷静，不能以点代面，既要看到自己的优点，又要面对自己的缺点。</w:t>
            </w:r>
          </w:p>
          <w:p w14:paraId="25FDCF97">
            <w:pPr>
              <w:widowControl/>
              <w:spacing w:line="360" w:lineRule="auto"/>
              <w:ind w:left="-19" w:leftChars="-9" w:firstLine="438" w:firstLineChars="209"/>
              <w:rPr>
                <w:rFonts w:hint="eastAsia" w:ascii="Times New Roman" w:hAnsi="Times New Roman"/>
              </w:rPr>
            </w:pPr>
            <w:r>
              <w:rPr>
                <w:rFonts w:hint="eastAsia" w:ascii="Times New Roman" w:hAnsi="Times New Roman"/>
              </w:rPr>
              <w:t>职业分析：现代职业具有自身的区域性、行业性、岗位性等特性。职业区域可能是城市，也可能是农村，可能是经济发达的特区，也可能是经济一般或贫困落后地区。职业生涯设计时要考虑到职业区域的具体特点，比如该地区的特殊政策、环境特征，不能仅看重单位的大小、名气，而要对该职业所在的行业现状和发展前景有比较深入的了解，比如人才供给情况、平均工资状况等。</w:t>
            </w:r>
          </w:p>
          <w:p w14:paraId="37404AF5">
            <w:pPr>
              <w:widowControl/>
              <w:spacing w:line="360" w:lineRule="auto"/>
              <w:ind w:left="-19" w:leftChars="-9" w:firstLine="438" w:firstLineChars="209"/>
              <w:rPr>
                <w:rFonts w:hint="eastAsia" w:ascii="Times New Roman" w:hAnsi="Times New Roman"/>
                <w:color w:val="EB4691"/>
              </w:rPr>
            </w:pPr>
            <w:r>
              <w:rPr>
                <w:rFonts w:hint="eastAsia" w:ascii="Times New Roman" w:hAnsi="Times New Roman"/>
                <w:color w:val="EB4691"/>
              </w:rPr>
              <w:t>3. 构建合理的知识结构</w:t>
            </w:r>
          </w:p>
          <w:p w14:paraId="0AC120F0">
            <w:pPr>
              <w:widowControl/>
              <w:spacing w:line="360" w:lineRule="auto"/>
              <w:ind w:left="-19" w:leftChars="-9" w:firstLine="438" w:firstLineChars="209"/>
              <w:rPr>
                <w:rFonts w:hint="eastAsia" w:ascii="Times New Roman" w:hAnsi="Times New Roman"/>
              </w:rPr>
            </w:pPr>
            <w:r>
              <w:rPr>
                <w:rFonts w:hint="eastAsia" w:ascii="Times New Roman" w:hAnsi="Times New Roman"/>
              </w:rPr>
              <w:t>知识的积累是成才的基础和必要条件。但知识不是衡量人才的绝对标准。单纯的知识数量并不足以表明一个人真正的知识水平。大学生不仅要具有相当数量的知识，还必须要形成合理的知识结构，没有合理的知识结构，就不能展现创造力。在职业生涯设计时，大学生要将已有知识科学地重组，建构合理的知识结构：既能很好地适应社会需要，又能充分体现个人特色；既能满足专业要求，又具备良好人文修养；既能发挥群体优势，又能展现个人专长。</w:t>
            </w:r>
          </w:p>
          <w:p w14:paraId="5D5BD01B">
            <w:pPr>
              <w:widowControl/>
              <w:spacing w:line="360" w:lineRule="auto"/>
              <w:ind w:left="-19" w:leftChars="-9" w:firstLine="438" w:firstLineChars="209"/>
              <w:rPr>
                <w:rFonts w:hint="eastAsia" w:ascii="Times New Roman" w:hAnsi="Times New Roman"/>
                <w:color w:val="EB4691"/>
              </w:rPr>
            </w:pPr>
            <w:r>
              <w:rPr>
                <w:rFonts w:hint="eastAsia" w:ascii="Times New Roman" w:hAnsi="Times New Roman"/>
                <w:color w:val="EB4691"/>
              </w:rPr>
              <w:t>4. 培养职业需要的实践能力</w:t>
            </w:r>
          </w:p>
          <w:p w14:paraId="48D9426B">
            <w:pPr>
              <w:widowControl/>
              <w:spacing w:line="360" w:lineRule="auto"/>
              <w:ind w:left="-19" w:leftChars="-9" w:firstLine="438" w:firstLineChars="209"/>
              <w:rPr>
                <w:rFonts w:hint="eastAsia" w:ascii="Times New Roman" w:hAnsi="Times New Roman"/>
              </w:rPr>
            </w:pPr>
            <w:r>
              <w:rPr>
                <w:rFonts w:hint="eastAsia" w:ascii="Times New Roman" w:hAnsi="Times New Roman"/>
              </w:rPr>
              <w:t>大学生的综合能力和知识面是用人单位选择大学生的依据。用人单位不仅考核大学生的专业知识和技能，而且还考核其综合运用知识的能力、对环境的适应能力、对文化的整合能力和实际操作能力等。大学生进行职业生涯设计时，除了构建合理的知识结构外，还要具备从事本行业岗位的基本能力和某些专业能力。一般来说，大学生应重点培养适合社会需要的决策能力、创造能力、社交能力、实际操作能力、组织管理能力和终身学习能力、心理调适能力、随机应变能力等。</w:t>
            </w:r>
          </w:p>
          <w:p w14:paraId="36F772DA">
            <w:pPr>
              <w:widowControl/>
              <w:spacing w:line="360" w:lineRule="auto"/>
              <w:ind w:left="-19" w:leftChars="-9" w:firstLine="438" w:firstLineChars="209"/>
              <w:rPr>
                <w:rFonts w:hint="eastAsia" w:ascii="Times New Roman" w:hAnsi="Times New Roman"/>
                <w:color w:val="EB4691"/>
              </w:rPr>
            </w:pPr>
            <w:r>
              <w:rPr>
                <w:rFonts w:hint="eastAsia" w:ascii="Times New Roman" w:hAnsi="Times New Roman"/>
                <w:color w:val="EB4691"/>
              </w:rPr>
              <w:t>5. 参加有益的职业训练</w:t>
            </w:r>
          </w:p>
          <w:p w14:paraId="58B56424">
            <w:pPr>
              <w:widowControl/>
              <w:spacing w:line="360" w:lineRule="auto"/>
              <w:ind w:left="-19" w:leftChars="-9" w:firstLine="438" w:firstLineChars="209"/>
              <w:rPr>
                <w:rFonts w:hint="eastAsia" w:ascii="Times New Roman" w:hAnsi="Times New Roman"/>
              </w:rPr>
            </w:pPr>
            <w:r>
              <w:rPr>
                <w:rFonts w:hint="eastAsia" w:ascii="Times New Roman" w:hAnsi="Times New Roman"/>
              </w:rPr>
              <w:t>职业训练包括职业技能的培训，对职业的适应性考核、职业意向的科学测定等。目前，高校组织的大学生暑期“三下乡”活动、大学生“青年志愿者”活动、大学生毕业实习锻炼、大学生校园创业活动等都是职业训练很好的形式。除此之外，大学生还可以参加学校举办的成功的毕业生校友回校与大学生的座谈、校外知名人士来校与大学生的交流。有条件的大学生还可以利用假期实习或从事社会兼职工作等。除了以上几个方面，大学生在进行职业生涯设计时，还应培养良好的道德修养和健康的心理素质，比如正确对待择业挫折的心理素质和敢于竞争、善于竞争的心理素质等。</w:t>
            </w:r>
          </w:p>
          <w:p w14:paraId="041A209B">
            <w:pPr>
              <w:widowControl/>
              <w:spacing w:line="360" w:lineRule="auto"/>
              <w:rPr>
                <w:rFonts w:hint="eastAsia" w:ascii="Times New Roman" w:hAnsi="Times New Roman"/>
                <w:b/>
                <w:bCs/>
                <w:color w:val="CC0066"/>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p w14:paraId="222C8E9B">
            <w:pPr>
              <w:widowControl/>
              <w:spacing w:line="360" w:lineRule="auto"/>
              <w:rPr>
                <w:rFonts w:hint="eastAsia" w:ascii="Times New Roman" w:hAnsi="Times New Roman"/>
                <w:b/>
                <w:bCs/>
                <w:color w:val="CC0066"/>
              </w:rPr>
            </w:pPr>
          </w:p>
        </w:tc>
        <w:tc>
          <w:tcPr>
            <w:tcW w:w="1617" w:type="dxa"/>
            <w:tcBorders>
              <w:top w:val="dashSmallGap" w:color="E54C5E" w:themeColor="accent6" w:sz="4" w:space="0"/>
              <w:left w:val="dashSmallGap" w:color="F4B382" w:themeColor="accent2" w:themeTint="99" w:sz="4" w:space="0"/>
              <w:bottom w:val="dashSmallGap" w:color="4874CB" w:themeColor="accent1" w:sz="4" w:space="0"/>
            </w:tcBorders>
            <w:shd w:val="clear" w:color="auto" w:fill="auto"/>
            <w:vAlign w:val="center"/>
          </w:tcPr>
          <w:p w14:paraId="56BF8B81">
            <w:pPr>
              <w:spacing w:line="360" w:lineRule="auto"/>
              <w:jc w:val="both"/>
              <w:rPr>
                <w:rFonts w:ascii="Times New Roman" w:hAnsi="Times New Roman"/>
                <w:b/>
                <w:szCs w:val="24"/>
              </w:rPr>
            </w:pPr>
            <w:r>
              <w:rPr>
                <w:rFonts w:hint="eastAsia" w:ascii="Times New Roman" w:hAnsi="Times New Roman"/>
                <w:b w:val="0"/>
                <w:bCs/>
                <w:spacing w:val="6"/>
                <w:sz w:val="21"/>
                <w:szCs w:val="24"/>
              </w:rPr>
              <w:t>通过</w:t>
            </w:r>
            <w:r>
              <w:rPr>
                <w:rFonts w:hint="eastAsia" w:ascii="Times New Roman" w:hAnsi="Times New Roman"/>
                <w:b w:val="0"/>
                <w:bCs/>
                <w:spacing w:val="6"/>
                <w:sz w:val="21"/>
                <w:szCs w:val="24"/>
                <w:lang w:eastAsia="zh-CN"/>
              </w:rPr>
              <w:t>分享见解</w:t>
            </w:r>
            <w:r>
              <w:rPr>
                <w:rFonts w:hint="eastAsia" w:ascii="Times New Roman" w:hAnsi="Times New Roman"/>
                <w:b w:val="0"/>
                <w:bCs/>
                <w:spacing w:val="6"/>
                <w:sz w:val="21"/>
                <w:szCs w:val="24"/>
              </w:rPr>
              <w:t>，带领学生</w:t>
            </w:r>
            <w:r>
              <w:rPr>
                <w:rFonts w:hint="eastAsia" w:ascii="Times New Roman" w:hAnsi="Times New Roman"/>
                <w:b w:val="0"/>
                <w:bCs/>
                <w:spacing w:val="6"/>
                <w:sz w:val="21"/>
                <w:szCs w:val="24"/>
                <w:lang w:eastAsia="zh-CN"/>
              </w:rPr>
              <w:t>进一步了解大学期间职业生涯规划的制定</w:t>
            </w:r>
            <w:r>
              <w:rPr>
                <w:rFonts w:hint="eastAsia" w:ascii="Times New Roman" w:hAnsi="Times New Roman"/>
                <w:b w:val="0"/>
                <w:bCs/>
                <w:spacing w:val="6"/>
                <w:sz w:val="21"/>
                <w:szCs w:val="24"/>
              </w:rPr>
              <w:t>，客观直接的展示大学期间职业生涯规划的制定的基础知识。</w:t>
            </w:r>
          </w:p>
        </w:tc>
      </w:tr>
      <w:tr w14:paraId="735D45C3">
        <w:trPr>
          <w:trHeight w:val="567" w:hRule="atLeast"/>
          <w:jc w:val="center"/>
        </w:trPr>
        <w:tc>
          <w:tcPr>
            <w:tcW w:w="1538" w:type="dxa"/>
            <w:tcBorders>
              <w:top w:val="dashSmallGap" w:color="4874CB" w:themeColor="accent1" w:sz="4" w:space="0"/>
              <w:bottom w:val="dashSmallGap" w:color="F4B382" w:themeColor="accent2" w:themeTint="99" w:sz="4" w:space="0"/>
              <w:right w:val="dashSmallGap" w:color="E54C5E" w:themeColor="accent6" w:sz="4" w:space="0"/>
            </w:tcBorders>
            <w:shd w:val="clear" w:color="auto" w:fill="F9DBDF" w:themeFill="accent6" w:themeFillTint="32"/>
            <w:vAlign w:val="center"/>
          </w:tcPr>
          <w:p w14:paraId="1536DAC2">
            <w:pPr>
              <w:spacing w:line="360" w:lineRule="auto"/>
              <w:jc w:val="center"/>
              <w:rPr>
                <w:rFonts w:ascii="微软雅黑" w:hAnsi="微软雅黑" w:eastAsia="微软雅黑"/>
                <w:b/>
                <w:color w:val="851321" w:themeColor="accent6" w:themeShade="80"/>
                <w:sz w:val="24"/>
                <w:szCs w:val="24"/>
              </w:rPr>
            </w:pPr>
            <w:r>
              <w:rPr>
                <w:rFonts w:hint="eastAsia" w:ascii="微软雅黑" w:hAnsi="微软雅黑" w:eastAsia="微软雅黑"/>
                <w:b/>
                <w:color w:val="851321" w:themeColor="accent6" w:themeShade="80"/>
                <w:sz w:val="24"/>
                <w:szCs w:val="24"/>
              </w:rPr>
              <w:t>课堂小结</w:t>
            </w:r>
          </w:p>
          <w:p w14:paraId="6822D827">
            <w:pPr>
              <w:spacing w:line="360" w:lineRule="auto"/>
              <w:jc w:val="center"/>
              <w:rPr>
                <w:rFonts w:ascii="Times New Roman" w:hAnsi="Times New Roman"/>
                <w:color w:val="249087" w:themeColor="accent5" w:themeShade="BF"/>
              </w:rPr>
            </w:pPr>
            <w:r>
              <w:rPr>
                <w:rFonts w:ascii="Times New Roman" w:hAnsi="Times New Roman"/>
                <w:color w:val="851321" w:themeColor="accent6" w:themeShade="80"/>
                <w:szCs w:val="24"/>
              </w:rPr>
              <w:t>（3</w:t>
            </w:r>
            <w:r>
              <w:rPr>
                <w:rFonts w:hint="eastAsia" w:ascii="Times New Roman" w:hAnsi="Times New Roman"/>
                <w:color w:val="851321" w:themeColor="accent6" w:themeShade="80"/>
                <w:szCs w:val="24"/>
              </w:rPr>
              <w:t>min</w:t>
            </w:r>
            <w:r>
              <w:rPr>
                <w:rFonts w:ascii="Times New Roman" w:hAnsi="Times New Roman"/>
                <w:color w:val="851321" w:themeColor="accent6" w:themeShade="80"/>
                <w:szCs w:val="24"/>
              </w:rPr>
              <w:t>）</w:t>
            </w:r>
          </w:p>
        </w:tc>
        <w:tc>
          <w:tcPr>
            <w:tcW w:w="7050" w:type="dxa"/>
            <w:tcBorders>
              <w:top w:val="dashSmallGap" w:color="4874CB" w:themeColor="accent1" w:sz="4" w:space="0"/>
              <w:left w:val="dashSmallGap" w:color="E54C5E" w:themeColor="accent6" w:sz="4" w:space="0"/>
              <w:bottom w:val="dashSmallGap" w:color="F4B382" w:themeColor="accent2" w:themeTint="99" w:sz="4" w:space="0"/>
              <w:right w:val="dashSmallGap" w:color="E54C5E" w:themeColor="accent6" w:sz="4" w:space="0"/>
            </w:tcBorders>
            <w:shd w:val="clear" w:color="auto" w:fill="F8FFF5"/>
            <w:vAlign w:val="center"/>
          </w:tcPr>
          <w:p w14:paraId="1EAEBC0A">
            <w:pPr>
              <w:spacing w:line="360" w:lineRule="auto"/>
              <w:rPr>
                <w:rFonts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5643C477">
            <w:pPr>
              <w:spacing w:line="360" w:lineRule="auto"/>
              <w:ind w:firstLine="420" w:firstLineChars="200"/>
              <w:rPr>
                <w:rFonts w:hint="eastAsia" w:ascii="Times New Roman" w:hAnsi="Times New Roman" w:eastAsia="宋体"/>
                <w:b/>
                <w:lang w:eastAsia="zh-CN"/>
              </w:rPr>
            </w:pPr>
            <w:r>
              <w:rPr>
                <w:rFonts w:hint="eastAsia" w:ascii="Times New Roman" w:hAnsi="Times New Roman"/>
                <w:b/>
              </w:rPr>
              <w:t>这节课</w:t>
            </w:r>
            <w:r>
              <w:rPr>
                <w:rFonts w:ascii="Times New Roman" w:hAnsi="Times New Roman"/>
                <w:b/>
              </w:rPr>
              <w:t>上一起学习了</w:t>
            </w:r>
            <w:r>
              <w:rPr>
                <w:rFonts w:hint="eastAsia" w:ascii="宋体" w:hAnsi="宋体" w:cs="宋体"/>
                <w:b/>
                <w:kern w:val="0"/>
                <w:szCs w:val="24"/>
              </w:rPr>
              <w:t>大学期间职业生涯规划的制定</w:t>
            </w:r>
            <w:r>
              <w:rPr>
                <w:rFonts w:hint="eastAsia" w:ascii="Times New Roman" w:hAnsi="Times New Roman"/>
                <w:b/>
              </w:rPr>
              <w:t>。因此明白了一个完整有效的职业生涯规划应包括自我评估、职业环境分析、职业目标的确定、制定策略与措施以及反馈与评估五个环节。</w:t>
            </w:r>
          </w:p>
          <w:p w14:paraId="4133753C">
            <w:pPr>
              <w:spacing w:line="360" w:lineRule="auto"/>
              <w:rPr>
                <w:rFonts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617" w:type="dxa"/>
            <w:tcBorders>
              <w:top w:val="dashSmallGap" w:color="4874CB" w:themeColor="accent1" w:sz="4" w:space="0"/>
              <w:left w:val="dashSmallGap" w:color="E54C5E" w:themeColor="accent6" w:sz="4" w:space="0"/>
              <w:bottom w:val="dashSmallGap" w:color="F4B382"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Times New Roman" w:hAnsi="Times New Roman"/>
                <w:b w:val="0"/>
                <w:bCs/>
              </w:rPr>
              <w:t>通过对所学知识的回顾，培养学生的归纳总结能力。</w:t>
            </w:r>
          </w:p>
        </w:tc>
      </w:tr>
      <w:tr w14:paraId="0F70CB26">
        <w:trPr>
          <w:trHeight w:val="567" w:hRule="atLeast"/>
          <w:jc w:val="center"/>
        </w:trPr>
        <w:tc>
          <w:tcPr>
            <w:tcW w:w="1538" w:type="dxa"/>
            <w:tcBorders>
              <w:top w:val="dashSmallGap" w:color="F4B382" w:themeColor="accent2" w:themeTint="99" w:sz="4" w:space="0"/>
              <w:bottom w:val="dashSmallGap" w:color="F4B382" w:themeColor="accent2" w:themeTint="99" w:sz="4" w:space="0"/>
              <w:right w:val="dashSmallGap" w:color="F4B382" w:themeColor="accent2" w:themeTint="99" w:sz="4" w:space="0"/>
            </w:tcBorders>
            <w:shd w:val="clear" w:color="auto" w:fill="E3F2D9" w:themeFill="accent4" w:themeFillTint="32"/>
            <w:vAlign w:val="center"/>
          </w:tcPr>
          <w:p w14:paraId="29967899">
            <w:pPr>
              <w:spacing w:line="360" w:lineRule="auto"/>
              <w:jc w:val="center"/>
              <w:rPr>
                <w:rFonts w:ascii="Times New Roman" w:hAnsi="Times New Roman"/>
                <w:color w:val="249087" w:themeColor="accent5" w:themeShade="BF"/>
              </w:rPr>
            </w:pPr>
            <w:r>
              <w:rPr>
                <w:rFonts w:hint="eastAsia" w:ascii="微软雅黑" w:hAnsi="微软雅黑" w:eastAsia="微软雅黑"/>
                <w:b/>
                <w:color w:val="843F0B" w:themeColor="accent2" w:themeShade="80"/>
                <w:sz w:val="24"/>
                <w:szCs w:val="24"/>
              </w:rPr>
              <w:t>作业布置</w:t>
            </w:r>
            <w:r>
              <w:rPr>
                <w:rFonts w:ascii="Times New Roman" w:hAnsi="Times New Roman"/>
                <w:color w:val="843F0B" w:themeColor="accent2" w:themeShade="80"/>
                <w:szCs w:val="24"/>
              </w:rPr>
              <w:t>（2</w:t>
            </w:r>
            <w:r>
              <w:rPr>
                <w:rFonts w:hint="eastAsia" w:ascii="Times New Roman" w:hAnsi="Times New Roman"/>
                <w:color w:val="843F0B" w:themeColor="accent2" w:themeShade="80"/>
                <w:szCs w:val="24"/>
              </w:rPr>
              <w:t>min</w:t>
            </w:r>
            <w:r>
              <w:rPr>
                <w:rFonts w:ascii="Times New Roman" w:hAnsi="Times New Roman"/>
                <w:color w:val="843F0B" w:themeColor="accent2" w:themeShade="80"/>
                <w:szCs w:val="24"/>
              </w:rPr>
              <w:t>）</w:t>
            </w:r>
          </w:p>
        </w:tc>
        <w:tc>
          <w:tcPr>
            <w:tcW w:w="7050" w:type="dxa"/>
            <w:tcBorders>
              <w:top w:val="dashSmallGap" w:color="F4B382" w:themeColor="accent2" w:themeTint="99" w:sz="4" w:space="0"/>
              <w:left w:val="dashSmallGap" w:color="F4B382" w:themeColor="accent2" w:themeTint="99" w:sz="4" w:space="0"/>
              <w:bottom w:val="dashSmallGap" w:color="F4B382" w:themeColor="accent2" w:themeTint="99" w:sz="4" w:space="0"/>
              <w:right w:val="dashSmallGap" w:color="F4B382" w:themeColor="accent2" w:themeTint="99" w:sz="4" w:space="0"/>
            </w:tcBorders>
            <w:shd w:val="clear" w:color="auto" w:fill="FEFFE9"/>
            <w:vAlign w:val="center"/>
          </w:tcPr>
          <w:p w14:paraId="1EE19599">
            <w:pPr>
              <w:spacing w:line="360" w:lineRule="auto"/>
              <w:rPr>
                <w:rFonts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布置课后作业</w:t>
            </w:r>
          </w:p>
          <w:p w14:paraId="323B3DA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lang w:eastAsia="zh-CN"/>
              </w:rPr>
            </w:pPr>
            <w:r>
              <w:rPr>
                <w:rFonts w:hint="eastAsia" w:ascii="Times New Roman" w:hAnsi="Times New Roman"/>
                <w:b/>
                <w:lang w:eastAsia="zh-CN"/>
              </w:rPr>
              <w:t>简述</w:t>
            </w:r>
            <w:r>
              <w:rPr>
                <w:rFonts w:hint="eastAsia" w:ascii="Times New Roman" w:hAnsi="Times New Roman"/>
                <w:b/>
              </w:rPr>
              <w:t>职业生涯规划的步骤</w:t>
            </w:r>
            <w:r>
              <w:rPr>
                <w:rFonts w:hint="eastAsia" w:ascii="Times New Roman" w:hAnsi="Times New Roman"/>
                <w:b/>
                <w:lang w:eastAsia="zh-CN"/>
              </w:rPr>
              <w:t>。</w:t>
            </w:r>
          </w:p>
        </w:tc>
        <w:tc>
          <w:tcPr>
            <w:tcW w:w="1617" w:type="dxa"/>
            <w:tcBorders>
              <w:top w:val="dashSmallGap" w:color="F4B382" w:themeColor="accent2" w:themeTint="99" w:sz="4" w:space="0"/>
              <w:left w:val="dashSmallGap" w:color="F4B382" w:themeColor="accent2" w:themeTint="99" w:sz="4" w:space="0"/>
              <w:bottom w:val="dashSmallGap" w:color="F4B382"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val="0"/>
                <w:bCs/>
              </w:rPr>
              <w:t>通过课后练习，使学生巩固所学新知识</w:t>
            </w:r>
          </w:p>
        </w:tc>
      </w:tr>
      <w:tr w14:paraId="4FC29EAF">
        <w:trPr>
          <w:trHeight w:val="567" w:hRule="atLeast"/>
          <w:jc w:val="center"/>
        </w:trPr>
        <w:tc>
          <w:tcPr>
            <w:tcW w:w="1538" w:type="dxa"/>
            <w:tcBorders>
              <w:top w:val="dashSmallGap" w:color="E54C5E" w:themeColor="accent6" w:sz="4" w:space="0"/>
              <w:bottom w:val="dashSmallGap" w:color="4874CB" w:themeColor="accent1" w:sz="4" w:space="0"/>
              <w:right w:val="dashSmallGap" w:color="F4B382" w:themeColor="accent2" w:themeTint="99" w:sz="4" w:space="0"/>
            </w:tcBorders>
            <w:shd w:val="clear" w:color="auto" w:fill="FBE6D6" w:themeFill="accent2" w:themeFillTint="32"/>
            <w:vAlign w:val="center"/>
          </w:tcPr>
          <w:p w14:paraId="383DA56E">
            <w:pPr>
              <w:spacing w:line="360" w:lineRule="auto"/>
              <w:jc w:val="center"/>
              <w:rPr>
                <w:rFonts w:ascii="微软雅黑" w:hAnsi="微软雅黑" w:eastAsia="微软雅黑"/>
                <w:b/>
                <w:color w:val="843F0B" w:themeColor="accent2" w:themeShade="80"/>
                <w:sz w:val="24"/>
                <w:szCs w:val="24"/>
              </w:rPr>
            </w:pPr>
            <w:r>
              <w:rPr>
                <w:rFonts w:hint="eastAsia" w:ascii="微软雅黑" w:hAnsi="微软雅黑" w:eastAsia="微软雅黑"/>
                <w:b/>
                <w:color w:val="843F0B" w:themeColor="accent2" w:themeShade="80"/>
                <w:sz w:val="24"/>
                <w:szCs w:val="24"/>
              </w:rPr>
              <w:t>继续探索</w:t>
            </w:r>
          </w:p>
          <w:p w14:paraId="6BB08A9E">
            <w:pPr>
              <w:spacing w:line="360" w:lineRule="auto"/>
              <w:jc w:val="center"/>
              <w:rPr>
                <w:rFonts w:ascii="Times New Roman" w:hAnsi="Times New Roman" w:eastAsia="宋体"/>
              </w:rPr>
            </w:pPr>
            <w:r>
              <w:rPr>
                <w:rFonts w:ascii="Times New Roman" w:hAnsi="Times New Roman" w:eastAsia="宋体"/>
                <w:color w:val="843F0B" w:themeColor="accent2" w:themeShade="80"/>
                <w:szCs w:val="24"/>
              </w:rPr>
              <w:t>（</w:t>
            </w:r>
            <w:r>
              <w:rPr>
                <w:rFonts w:hint="eastAsia" w:ascii="Times New Roman" w:hAnsi="Times New Roman" w:eastAsia="宋体"/>
                <w:color w:val="843F0B" w:themeColor="accent2" w:themeShade="80"/>
                <w:szCs w:val="24"/>
                <w:lang w:val="en-US" w:eastAsia="zh-CN"/>
              </w:rPr>
              <w:t>40</w:t>
            </w:r>
            <w:r>
              <w:rPr>
                <w:rFonts w:hint="eastAsia" w:ascii="Times New Roman" w:hAnsi="Times New Roman" w:eastAsia="宋体"/>
                <w:color w:val="843F0B" w:themeColor="accent2" w:themeShade="80"/>
                <w:szCs w:val="24"/>
              </w:rPr>
              <w:t>min</w:t>
            </w:r>
            <w:r>
              <w:rPr>
                <w:rFonts w:ascii="Times New Roman" w:hAnsi="Times New Roman" w:eastAsia="宋体"/>
                <w:color w:val="843F0B" w:themeColor="accent2" w:themeShade="80"/>
                <w:szCs w:val="24"/>
              </w:rPr>
              <w:t>）</w:t>
            </w:r>
          </w:p>
        </w:tc>
        <w:tc>
          <w:tcPr>
            <w:tcW w:w="7050" w:type="dxa"/>
            <w:tcBorders>
              <w:top w:val="dashSmallGap" w:color="E54C5E" w:themeColor="accent6" w:sz="4" w:space="0"/>
              <w:left w:val="dashSmallGap" w:color="F4B382" w:themeColor="accent2" w:themeTint="99" w:sz="4" w:space="0"/>
              <w:bottom w:val="dashSmallGap" w:color="4874CB" w:themeColor="accent1" w:sz="4" w:space="0"/>
              <w:right w:val="dashSmallGap" w:color="F4B382" w:themeColor="accent2" w:themeTint="99" w:sz="4" w:space="0"/>
            </w:tcBorders>
            <w:vAlign w:val="center"/>
          </w:tcPr>
          <w:p w14:paraId="2E981B3A">
            <w:pPr>
              <w:widowControl/>
              <w:spacing w:line="360" w:lineRule="auto"/>
              <w:rPr>
                <w:rFonts w:hint="eastAsia" w:ascii="Times New Roman" w:hAnsi="Times New Roman" w:eastAsia="宋体"/>
                <w:lang w:eastAsia="zh-CN"/>
              </w:rPr>
            </w:pPr>
            <w:r>
              <w:rPr>
                <w:rFonts w:hint="eastAsia" w:ascii="Times New Roman" w:hAnsi="Times New Roman" w:eastAsia="宋体"/>
                <w:szCs w:val="24"/>
              </w:rPr>
              <w:t>【</w:t>
            </w:r>
            <w:r>
              <w:rPr>
                <w:rFonts w:hint="eastAsia" w:ascii="Times New Roman" w:hAnsi="Times New Roman" w:eastAsia="宋体"/>
                <w:b/>
                <w:szCs w:val="24"/>
              </w:rPr>
              <w:t>教师</w:t>
            </w:r>
            <w:r>
              <w:rPr>
                <w:rFonts w:hint="eastAsia" w:ascii="Times New Roman" w:hAnsi="Times New Roman" w:eastAsia="宋体"/>
                <w:szCs w:val="24"/>
              </w:rPr>
              <w:t>】</w:t>
            </w:r>
            <w:r>
              <w:rPr>
                <w:rFonts w:hint="eastAsia" w:ascii="Times New Roman" w:hAnsi="Times New Roman" w:eastAsia="宋体"/>
                <w:b/>
                <w:color w:val="CC0066"/>
                <w:szCs w:val="24"/>
                <w:lang w:val="en-US" w:eastAsia="zh-CN"/>
              </w:rPr>
              <w:t>讲解大学生择业中常见心理问题及调适</w:t>
            </w:r>
          </w:p>
          <w:p w14:paraId="4891F069">
            <w:pPr>
              <w:widowControl/>
              <w:spacing w:line="360" w:lineRule="auto"/>
              <w:ind w:left="-19" w:leftChars="-9" w:firstLine="439" w:firstLineChars="209"/>
              <w:rPr>
                <w:rFonts w:hint="eastAsia" w:ascii="Times New Roman" w:hAnsi="Times New Roman"/>
                <w:b/>
                <w:bCs/>
                <w:lang w:val="en-US" w:eastAsia="zh-CN"/>
              </w:rPr>
            </w:pPr>
            <w:r>
              <w:rPr>
                <w:rFonts w:hint="eastAsia" w:ascii="Times New Roman" w:hAnsi="Times New Roman"/>
                <w:b/>
                <w:bCs/>
                <w:lang w:val="en-US" w:eastAsia="zh-CN"/>
              </w:rPr>
              <w:t>大学生择业中常见心理问题及调适</w:t>
            </w:r>
          </w:p>
          <w:p w14:paraId="20618203">
            <w:pPr>
              <w:widowControl/>
              <w:spacing w:line="360" w:lineRule="auto"/>
              <w:ind w:left="-19" w:leftChars="-9" w:firstLine="439" w:firstLineChars="209"/>
              <w:rPr>
                <w:rFonts w:hint="eastAsia" w:ascii="Times New Roman" w:hAnsi="Times New Roman"/>
                <w:b/>
                <w:bCs/>
                <w:lang w:val="en-US" w:eastAsia="zh-CN"/>
              </w:rPr>
            </w:pPr>
            <w:r>
              <w:rPr>
                <w:rFonts w:hint="eastAsia" w:ascii="Times New Roman" w:hAnsi="Times New Roman"/>
                <w:b/>
                <w:bCs/>
                <w:lang w:val="en-US" w:eastAsia="zh-CN"/>
              </w:rPr>
              <w:t>（一）自傲心理</w:t>
            </w:r>
          </w:p>
          <w:p w14:paraId="0EB3F7EF">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在职业选择中，自傲心理主要表现为自命清高，自命不凡，求职期望过高，不切实际。比如，有的大学生无视“双向选择”的求职规则，认为自己是最优秀的，只存在自己选择用人单位的问题，而无需用人单位选择自己。带着虚幻的期望去接触用人单位、接触社会往往容易遭到现实无情打击。一些大学生可能会因此而委靡不振，心情灰暗，甚至抱怨自己“怀才不遇”。自傲心理是大学生职业选择的大敌。大学生应当牢记“人贵有自知之明”，重视自我认知能力的培养。在大学生活中，要多与人交往，以人际关系作为一面镜子，照出自己的优点和不足；要有意识地参加一些集体活动和社会实践活动，以便发现自己，认识自己；要多审视、反省自己，不断总结自己的经验教训，在别人的评价和自己对自身的总结评价相结合的基础上，客观、正确地评价自己，以防止自傲心理的滋生和蔓延。</w:t>
            </w:r>
          </w:p>
          <w:p w14:paraId="1632A071">
            <w:pPr>
              <w:widowControl/>
              <w:spacing w:line="360" w:lineRule="auto"/>
              <w:ind w:left="-19" w:leftChars="-9" w:firstLine="439" w:firstLineChars="209"/>
              <w:rPr>
                <w:rFonts w:hint="eastAsia" w:ascii="Times New Roman" w:hAnsi="Times New Roman"/>
                <w:b/>
                <w:bCs/>
                <w:lang w:val="en-US" w:eastAsia="zh-CN"/>
              </w:rPr>
            </w:pPr>
            <w:r>
              <w:rPr>
                <w:rFonts w:hint="eastAsia" w:ascii="Times New Roman" w:hAnsi="Times New Roman"/>
                <w:b/>
                <w:bCs/>
                <w:lang w:val="en-US" w:eastAsia="zh-CN"/>
              </w:rPr>
              <w:t>（二）自卑心理</w:t>
            </w:r>
          </w:p>
          <w:p w14:paraId="767458FF">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在职业选择中，大学生的自卑心理表现也比较突出。有的同学要么觉得自己成绩不好，要么觉得自己能力不行，要么觉得自己关系不硬，总之纠缠在自己某方面所谓的“缺陷”里走不出来，看不到自己的优势，树立不了信心。比如一位大学生曾经说：“自己成绩不怎么样，也没什么专长，家里又不认识什么权高位重的人，毕业了怎么找工作啊？”有这种就业自卑感的同学多以一些女同学、农村地区的同学和家庭经济困难的同学为主。</w:t>
            </w:r>
          </w:p>
          <w:p w14:paraId="0F1D1867">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有自卑心理的同学，应首先树立一种平等观念，即只要进入大学，大家的起跑线都是相同的，不论男生还是女生，家在农村还是在城市，没有高低贵贱之分，同样都要通过自身的不懈努力为将来的就业去奋斗；要正确看待当今社会出现的一些不公平现象；要认识到在就业市场上存在的不公平现象只是少数的暂时现象，树立“有志者事竟成”的观念；在大学生活中要经常和同学、老师、朋友交流，在一些集体活动中寻找成就感，培养自信心。</w:t>
            </w:r>
          </w:p>
          <w:p w14:paraId="63FD17DF">
            <w:pPr>
              <w:widowControl/>
              <w:spacing w:line="360" w:lineRule="auto"/>
              <w:ind w:left="-19" w:leftChars="-9" w:firstLine="439" w:firstLineChars="209"/>
              <w:rPr>
                <w:rFonts w:hint="eastAsia" w:ascii="Times New Roman" w:hAnsi="Times New Roman"/>
                <w:b/>
                <w:bCs/>
                <w:lang w:val="en-US" w:eastAsia="zh-CN"/>
              </w:rPr>
            </w:pPr>
            <w:r>
              <w:rPr>
                <w:rFonts w:hint="eastAsia" w:ascii="Times New Roman" w:hAnsi="Times New Roman"/>
                <w:b/>
                <w:bCs/>
                <w:lang w:val="en-US" w:eastAsia="zh-CN"/>
              </w:rPr>
              <w:t>（三）依赖心理</w:t>
            </w:r>
          </w:p>
          <w:p w14:paraId="222F629E">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有些大学生从小在家里就备受父母亲友的关爱，有些甚至在大学期间也经常受到虽远隔千里但却仍无微不至的父母的照料，再加上这种学生从中学到大学一直一帆风顺，很少经历什么挫折，也从未独立地处理过一些事情，因而这种学生久而久之便产生一种依赖心理。懒于思考生活中的问题，不善于对自己生活中的事做出抉择，凡事拿不定主意，极愿听从父母师长的安排。在求职市场上，常常有父母递简历、填表格、答问题的现象。有的同学受传统教育意识的禁锢，还迷失在“统包分配”的误区里，害怕竞争，把就业的希望寄托在人事部门、教育部门的身上。他们对自己的毕业去向问题漠不关心，不闻不问，听天由命，消极等待，幻想机遇会敲响自己的大门。有的同学自以为家境优越，在找工作时懒于行动，缺乏独立、开拓意识，想凭借家庭的社会关系投机取巧，找到满意的工作，这也是一种依赖心理的表现。抱有依赖心理的同学，即便找到工作，也会在日后的工作中出现难以适应，工作效率低的情况。</w:t>
            </w:r>
          </w:p>
          <w:p w14:paraId="6133B682">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大学生应当从在校期间就开始锻炼自己的独立性。由学会独立处理日常生活中的种种琐碎问题开始，养成自己独立思考、自主解决问题的习惯。在择业问题上，大学生应充分了解自己的兴趣和性格特征，结合自己的专业特色分析就业市场，主动出击，发挥自身的主观能动性，把择业的过程不仅当做找工作的过程，而且作为锻炼自己独立性的一次机会，为将来的发展打下基础。</w:t>
            </w:r>
          </w:p>
          <w:p w14:paraId="5D800888">
            <w:pPr>
              <w:widowControl/>
              <w:spacing w:line="360" w:lineRule="auto"/>
              <w:ind w:left="-19" w:leftChars="-9" w:firstLine="439" w:firstLineChars="209"/>
              <w:rPr>
                <w:rFonts w:hint="eastAsia" w:ascii="Times New Roman" w:hAnsi="Times New Roman"/>
                <w:b/>
                <w:bCs/>
                <w:lang w:val="en-US" w:eastAsia="zh-CN"/>
              </w:rPr>
            </w:pPr>
            <w:r>
              <w:rPr>
                <w:rFonts w:hint="eastAsia" w:ascii="Times New Roman" w:hAnsi="Times New Roman"/>
                <w:b/>
                <w:bCs/>
                <w:lang w:val="en-US" w:eastAsia="zh-CN"/>
              </w:rPr>
              <w:t>（四）从众心理</w:t>
            </w:r>
          </w:p>
          <w:p w14:paraId="6DBF13ED">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从众心理是在社会或群体的压力下，个人放弃自己的意见，而采取顺从的心理倾向。从众心理重的人，容易接受暗示，缺乏主见，依赖性强，不能独立思考，为了保持与大家一致，往往说违心的话，做违心的事。在大学生职业选择问题上，相当多的同学受从众心理的影响，盲目追求所谓的“潮流”，而忽视个人的真正需求。比如，在就业地点上，一味追求到大城市、中心城市、沿海城市去，不愿意到相对偏远的小城市或县乡镇工作；在职业类型上，计算机、建筑设计、自动化等行业门庭若市，而农林牧渔、地质采矿、海洋石油等行业却无人问津；在择业标准上，盲目追求“三高”，即起点高、职位高、薪水高，对“三高”单位趋之若鹜。这样往往由于竞争激烈，容易遭遇失败。</w:t>
            </w:r>
          </w:p>
          <w:p w14:paraId="15E6951A">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大学生择业的这种从众心理，究其原因，主要是由于大学生没有很好地了解当前的就业形势，再加上本身存在一定程度的自卑心理和依赖心理，不敢独立作出自己的选择，只好跟着大家一起走，人云亦云。人家往哪里走，他就往哪里走，什么职业热门，他就选择什么职业。大学生应当充分了解人才供需情况和就业形势，认清自我，合理确立自己的职业方向，增强自信心，克服从众心理的影响，为今后走上社会做好准备。</w:t>
            </w:r>
          </w:p>
          <w:p w14:paraId="0EFFFCC8">
            <w:pPr>
              <w:widowControl/>
              <w:spacing w:line="360" w:lineRule="auto"/>
              <w:ind w:left="-19" w:leftChars="-9" w:firstLine="439" w:firstLineChars="209"/>
              <w:rPr>
                <w:rFonts w:hint="eastAsia" w:ascii="Times New Roman" w:hAnsi="Times New Roman"/>
                <w:b/>
                <w:bCs/>
                <w:lang w:val="en-US" w:eastAsia="zh-CN"/>
              </w:rPr>
            </w:pPr>
            <w:r>
              <w:rPr>
                <w:rFonts w:hint="eastAsia" w:ascii="Times New Roman" w:hAnsi="Times New Roman"/>
                <w:b/>
                <w:bCs/>
                <w:lang w:val="en-US" w:eastAsia="zh-CN"/>
              </w:rPr>
              <w:t>（五）虚荣心理</w:t>
            </w:r>
          </w:p>
          <w:p w14:paraId="41ADFD11">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虚荣心理也是大学生择业过程中的一种不良心理。虚荣心强的大学生，往往不切实际，好高骛远。他们选择职业的目的是为了让别人羡慕，满足自己的虚荣心，而不是为自己寻找施展才华的空间。有的同学在择业过程中有明显的功利意识，他们把眼光集中在知名度高、社会地位好、经济利益实惠的单位上，不考虑自己的专业、爱好以及能力。比如北京某高校一位学计算机专业的大学生，一心想进入某中央机关工作，认为这是一种值得炫耀的资本。但经过激烈的竞争如愿以偿后，却感到很失落。其计算机方面的知识派不上用场，活泼奔放、热情的性格也受到压抑，工作中还不断出现差错，事业陷入低迷。几年后，他当年的同窗好友一个个都取得了可观的成就，而自己却还是一无所成，这才后悔当初不应该太虚荣。“一着不慎，全盘皆输。”有的同学在择业中产生较强的攀比意识，总是“这山望着那山高”，特别喜欢关注其他同学的就业取向，非要优于其他同学，自己才会心满意足。</w:t>
            </w:r>
          </w:p>
          <w:p w14:paraId="1C1A1477">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虚荣心重的同学应当端正自己的就业动机，摆脱爱慕虚荣、喜欢炫耀的心态，在择业时注重实事求是；要加深对自身性格、气质、兴趣的了解，树立合理的择业观念，以保证自身的素质资源得以合理的配置和充分利用。</w:t>
            </w:r>
          </w:p>
          <w:p w14:paraId="3E864110">
            <w:pPr>
              <w:widowControl/>
              <w:spacing w:line="360" w:lineRule="auto"/>
              <w:ind w:left="-19" w:leftChars="-9" w:firstLine="439" w:firstLineChars="209"/>
              <w:rPr>
                <w:rFonts w:hint="eastAsia" w:ascii="Times New Roman" w:hAnsi="Times New Roman"/>
                <w:b/>
                <w:bCs/>
                <w:lang w:val="en-US" w:eastAsia="zh-CN"/>
              </w:rPr>
            </w:pPr>
            <w:r>
              <w:rPr>
                <w:rFonts w:hint="eastAsia" w:ascii="Times New Roman" w:hAnsi="Times New Roman"/>
                <w:b/>
                <w:bCs/>
                <w:lang w:val="en-US" w:eastAsia="zh-CN"/>
              </w:rPr>
              <w:t>（六）挫折心理</w:t>
            </w:r>
          </w:p>
          <w:p w14:paraId="4223E437">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随着我国就业市场的变化，就业竞争的加剧，就业形势越来越严峻，而大学生未经世事，在就业中容易产生自我评价偏高、职业期望偏高的情况，在职业选择时容易受到挫折。比如理想的职业愿望不能实现，自己的职业选择不能被亲朋好友所接受和理解，都容易使他们产生挫折感。由于人们对挫折的承受能力各不相同，因此挫折对大学生择业造成的影响也有所差别。有的大学生耐挫能力相对较强，因此对挫折的反应比较轻微，并能在短期内从失望中恢复过来；有的同学心理承受能力较弱，对挫折的反应较强烈，持续的时间也长些。挫折心理如果调整不好的话，会成为大学生职业选择的绊脚石，反之，如果能正确对待，积极调适，就会是职业选择过程中的一次磨炼，成为成功就业的垫脚石。</w:t>
            </w:r>
          </w:p>
          <w:p w14:paraId="1E36D1EA">
            <w:pPr>
              <w:widowControl/>
              <w:spacing w:line="360" w:lineRule="auto"/>
              <w:ind w:left="-19" w:leftChars="-9" w:firstLine="438" w:firstLineChars="209"/>
              <w:rPr>
                <w:rFonts w:hint="eastAsia" w:ascii="Times New Roman" w:hAnsi="Times New Roman"/>
                <w:lang w:val="en-US" w:eastAsia="zh-CN"/>
              </w:rPr>
            </w:pPr>
            <w:r>
              <w:rPr>
                <w:rFonts w:hint="eastAsia" w:ascii="Times New Roman" w:hAnsi="Times New Roman"/>
                <w:lang w:val="en-US" w:eastAsia="zh-CN"/>
              </w:rPr>
              <w:t>大学生在择业过程中要正确对待挫折，勇于战胜挫折。要善于正确分析挫折产生的原因，自觉调整自己的需要和情绪，认真反思，冷静处理，采取合理的心理防卫机制，如情绪转移、合理化作用等，舒缓心理压力，减少破坏性行为发生的几率。</w:t>
            </w:r>
          </w:p>
          <w:p w14:paraId="7BF9BCAB">
            <w:pPr>
              <w:widowControl/>
              <w:spacing w:line="360" w:lineRule="auto"/>
              <w:ind w:left="-19" w:leftChars="-9" w:firstLine="438" w:firstLineChars="209"/>
              <w:rPr>
                <w:rFonts w:hint="eastAsia" w:ascii="Times New Roman" w:hAnsi="Times New Roman" w:eastAsia="宋体"/>
                <w:lang w:eastAsia="zh-CN"/>
              </w:rPr>
            </w:pPr>
            <w:r>
              <w:rPr>
                <w:rFonts w:hint="eastAsia" w:ascii="Times New Roman" w:hAnsi="Times New Roman"/>
                <w:lang w:val="en-US" w:eastAsia="zh-CN"/>
              </w:rPr>
              <w:t>此外，在职业选择中，还有一种危害性较大的心理——嫉妒心理，表现为对别人在择业中的顺利或成功进行贬低、挖苦、讽刺甚至造谣中伤。有嫉妒心理的大学生，一定要客观承认人与人之间的差距，抛却自私狭隘的意识，学会进行公平、正常的竞争，争</w:t>
            </w:r>
            <w:bookmarkStart w:id="0" w:name="_GoBack"/>
            <w:bookmarkEnd w:id="0"/>
            <w:r>
              <w:rPr>
                <w:rFonts w:hint="eastAsia" w:ascii="Times New Roman" w:hAnsi="Times New Roman"/>
                <w:lang w:val="en-US" w:eastAsia="zh-CN"/>
              </w:rPr>
              <w:t>取以实力取胜。</w:t>
            </w:r>
          </w:p>
          <w:p w14:paraId="1C3463FE">
            <w:pPr>
              <w:widowControl/>
              <w:spacing w:line="360" w:lineRule="auto"/>
              <w:rPr>
                <w:rFonts w:ascii="Times New Roman" w:hAnsi="Times New Roman" w:eastAsia="宋体"/>
              </w:rPr>
            </w:pPr>
            <w:r>
              <w:rPr>
                <w:rFonts w:hint="eastAsia" w:ascii="Times New Roman" w:hAnsi="Times New Roman" w:eastAsia="宋体"/>
                <w:b/>
                <w:bCs/>
              </w:rPr>
              <w:t>【</w:t>
            </w:r>
            <w:r>
              <w:rPr>
                <w:rFonts w:hint="eastAsia" w:ascii="Times New Roman" w:hAnsi="Times New Roman" w:eastAsia="宋体"/>
                <w:b/>
                <w:szCs w:val="24"/>
              </w:rPr>
              <w:t>学生</w:t>
            </w:r>
            <w:r>
              <w:rPr>
                <w:rFonts w:hint="eastAsia" w:ascii="Times New Roman" w:hAnsi="Times New Roman" w:eastAsia="宋体"/>
                <w:b/>
                <w:bCs/>
              </w:rPr>
              <w:t>】</w:t>
            </w:r>
            <w:r>
              <w:rPr>
                <w:rFonts w:hint="eastAsia" w:ascii="Times New Roman" w:hAnsi="Times New Roman" w:eastAsia="宋体"/>
                <w:b/>
                <w:bCs/>
                <w:color w:val="CC0066"/>
              </w:rPr>
              <w:t>理解、记忆</w:t>
            </w:r>
          </w:p>
        </w:tc>
        <w:tc>
          <w:tcPr>
            <w:tcW w:w="1617" w:type="dxa"/>
            <w:tcBorders>
              <w:top w:val="dashSmallGap" w:color="E54C5E" w:themeColor="accent6" w:sz="4" w:space="0"/>
              <w:left w:val="dashSmallGap" w:color="F4B382" w:themeColor="accent2" w:themeTint="99" w:sz="4" w:space="0"/>
              <w:bottom w:val="dashSmallGap" w:color="4874CB" w:themeColor="accent1" w:sz="4" w:space="0"/>
            </w:tcBorders>
            <w:shd w:val="clear" w:color="auto" w:fill="auto"/>
            <w:vAlign w:val="center"/>
          </w:tcPr>
          <w:p w14:paraId="26D9541F">
            <w:pPr>
              <w:spacing w:line="360" w:lineRule="auto"/>
              <w:jc w:val="both"/>
              <w:rPr>
                <w:rFonts w:ascii="Times New Roman" w:hAnsi="Times New Roman" w:eastAsia="宋体"/>
                <w:b/>
                <w:szCs w:val="24"/>
              </w:rPr>
            </w:pPr>
            <w:r>
              <w:rPr>
                <w:rFonts w:hint="eastAsia" w:ascii="Times New Roman" w:hAnsi="Times New Roman" w:eastAsia="宋体"/>
                <w:b w:val="0"/>
                <w:bCs/>
                <w:spacing w:val="6"/>
                <w:sz w:val="21"/>
                <w:szCs w:val="24"/>
              </w:rPr>
              <w:t>通过</w:t>
            </w:r>
            <w:r>
              <w:rPr>
                <w:rFonts w:hint="eastAsia" w:ascii="Times New Roman" w:hAnsi="Times New Roman" w:eastAsia="宋体"/>
                <w:b w:val="0"/>
                <w:bCs/>
                <w:spacing w:val="6"/>
                <w:sz w:val="21"/>
                <w:szCs w:val="24"/>
                <w:lang w:eastAsia="zh-CN"/>
              </w:rPr>
              <w:t>分享见解</w:t>
            </w:r>
            <w:r>
              <w:rPr>
                <w:rFonts w:hint="eastAsia" w:ascii="Times New Roman" w:hAnsi="Times New Roman" w:eastAsia="宋体"/>
                <w:b w:val="0"/>
                <w:bCs/>
                <w:spacing w:val="6"/>
                <w:sz w:val="21"/>
                <w:szCs w:val="24"/>
              </w:rPr>
              <w:t>，带领学生</w:t>
            </w:r>
            <w:r>
              <w:rPr>
                <w:rFonts w:hint="eastAsia" w:ascii="Times New Roman" w:hAnsi="Times New Roman" w:eastAsia="宋体"/>
                <w:b w:val="0"/>
                <w:bCs/>
                <w:spacing w:val="6"/>
                <w:sz w:val="21"/>
                <w:szCs w:val="24"/>
                <w:lang w:eastAsia="zh-CN"/>
              </w:rPr>
              <w:t>进一步了解大学生择业中常见心理问题及调适</w:t>
            </w:r>
            <w:r>
              <w:rPr>
                <w:rFonts w:hint="eastAsia" w:ascii="Times New Roman" w:hAnsi="Times New Roman" w:eastAsia="宋体"/>
                <w:b w:val="0"/>
                <w:bCs/>
                <w:spacing w:val="6"/>
                <w:sz w:val="21"/>
                <w:szCs w:val="24"/>
              </w:rPr>
              <w:t>，客观直接的展示大学生择业中常见心理问题及调适的基础知识。</w:t>
            </w:r>
          </w:p>
        </w:tc>
      </w:tr>
      <w:tr w14:paraId="117A27D5">
        <w:trPr>
          <w:trHeight w:val="567" w:hRule="atLeast"/>
          <w:jc w:val="center"/>
        </w:trPr>
        <w:tc>
          <w:tcPr>
            <w:tcW w:w="1538" w:type="dxa"/>
            <w:tcBorders>
              <w:top w:val="dashSmallGap" w:color="4874CB" w:themeColor="accent1" w:sz="4" w:space="0"/>
              <w:bottom w:val="dashSmallGap" w:color="F4B382" w:themeColor="accent2" w:themeTint="99" w:sz="4" w:space="0"/>
              <w:right w:val="dashSmallGap" w:color="E54C5E" w:themeColor="accent6" w:sz="4" w:space="0"/>
            </w:tcBorders>
            <w:shd w:val="clear" w:color="auto" w:fill="F9DBDF" w:themeFill="accent6" w:themeFillTint="32"/>
            <w:vAlign w:val="center"/>
          </w:tcPr>
          <w:p w14:paraId="404AC209">
            <w:pPr>
              <w:spacing w:line="360" w:lineRule="auto"/>
              <w:jc w:val="center"/>
              <w:rPr>
                <w:rFonts w:ascii="微软雅黑" w:hAnsi="微软雅黑" w:eastAsia="微软雅黑"/>
                <w:b/>
                <w:color w:val="851321" w:themeColor="accent6" w:themeShade="80"/>
                <w:sz w:val="24"/>
                <w:szCs w:val="24"/>
              </w:rPr>
            </w:pPr>
            <w:r>
              <w:rPr>
                <w:rFonts w:hint="eastAsia" w:ascii="微软雅黑" w:hAnsi="微软雅黑" w:eastAsia="微软雅黑"/>
                <w:b/>
                <w:color w:val="851321" w:themeColor="accent6" w:themeShade="80"/>
                <w:sz w:val="24"/>
                <w:szCs w:val="24"/>
              </w:rPr>
              <w:t>课堂小结</w:t>
            </w:r>
          </w:p>
          <w:p w14:paraId="5CC3F8FB">
            <w:pPr>
              <w:spacing w:line="360" w:lineRule="auto"/>
              <w:jc w:val="center"/>
              <w:rPr>
                <w:rFonts w:ascii="Times New Roman" w:hAnsi="Times New Roman" w:eastAsia="宋体"/>
                <w:color w:val="249087" w:themeColor="accent5" w:themeShade="BF"/>
              </w:rPr>
            </w:pPr>
            <w:r>
              <w:rPr>
                <w:rFonts w:ascii="Times New Roman" w:hAnsi="Times New Roman" w:eastAsia="宋体"/>
                <w:color w:val="851321" w:themeColor="accent6" w:themeShade="80"/>
                <w:szCs w:val="24"/>
              </w:rPr>
              <w:t>（3</w:t>
            </w:r>
            <w:r>
              <w:rPr>
                <w:rFonts w:hint="eastAsia" w:ascii="Times New Roman" w:hAnsi="Times New Roman" w:eastAsia="宋体"/>
                <w:color w:val="851321" w:themeColor="accent6" w:themeShade="80"/>
                <w:szCs w:val="24"/>
              </w:rPr>
              <w:t>min</w:t>
            </w:r>
            <w:r>
              <w:rPr>
                <w:rFonts w:ascii="Times New Roman" w:hAnsi="Times New Roman" w:eastAsia="宋体"/>
                <w:color w:val="851321" w:themeColor="accent6" w:themeShade="80"/>
                <w:szCs w:val="24"/>
              </w:rPr>
              <w:t>）</w:t>
            </w:r>
          </w:p>
        </w:tc>
        <w:tc>
          <w:tcPr>
            <w:tcW w:w="7050" w:type="dxa"/>
            <w:tcBorders>
              <w:top w:val="dashSmallGap" w:color="4874CB" w:themeColor="accent1" w:sz="4" w:space="0"/>
              <w:left w:val="dashSmallGap" w:color="E54C5E" w:themeColor="accent6" w:sz="4" w:space="0"/>
              <w:bottom w:val="dashSmallGap" w:color="F4B382" w:themeColor="accent2" w:themeTint="99" w:sz="4" w:space="0"/>
              <w:right w:val="dashSmallGap" w:color="E54C5E" w:themeColor="accent6" w:sz="4" w:space="0"/>
            </w:tcBorders>
            <w:shd w:val="clear" w:color="auto" w:fill="F8FFF5"/>
            <w:vAlign w:val="center"/>
          </w:tcPr>
          <w:p w14:paraId="47D6B617">
            <w:pPr>
              <w:spacing w:line="360" w:lineRule="auto"/>
              <w:rPr>
                <w:rFonts w:ascii="Times New Roman" w:hAnsi="Times New Roman" w:eastAsia="宋体"/>
                <w:szCs w:val="24"/>
              </w:rPr>
            </w:pPr>
            <w:r>
              <w:rPr>
                <w:rFonts w:hint="eastAsia" w:ascii="Times New Roman" w:hAnsi="Times New Roman" w:eastAsia="宋体"/>
                <w:szCs w:val="24"/>
              </w:rPr>
              <w:t>【</w:t>
            </w:r>
            <w:r>
              <w:rPr>
                <w:rFonts w:hint="eastAsia" w:ascii="Times New Roman" w:hAnsi="Times New Roman" w:eastAsia="宋体"/>
                <w:b/>
                <w:szCs w:val="24"/>
              </w:rPr>
              <w:t>教师</w:t>
            </w:r>
            <w:r>
              <w:rPr>
                <w:rFonts w:hint="eastAsia" w:ascii="Times New Roman" w:hAnsi="Times New Roman" w:eastAsia="宋体"/>
                <w:szCs w:val="24"/>
              </w:rPr>
              <w:t>】</w:t>
            </w:r>
            <w:r>
              <w:rPr>
                <w:rFonts w:hint="eastAsia" w:ascii="Times New Roman" w:hAnsi="Times New Roman" w:eastAsia="宋体"/>
                <w:b/>
                <w:color w:val="CC0066"/>
                <w:szCs w:val="24"/>
              </w:rPr>
              <w:t>回顾和总结本节课的知识点：</w:t>
            </w:r>
          </w:p>
          <w:p w14:paraId="09059099">
            <w:pPr>
              <w:spacing w:line="360" w:lineRule="auto"/>
              <w:ind w:firstLine="420" w:firstLineChars="200"/>
              <w:rPr>
                <w:rFonts w:hint="eastAsia" w:ascii="Times New Roman" w:hAnsi="Times New Roman" w:eastAsia="宋体"/>
                <w:b/>
                <w:lang w:eastAsia="zh-CN"/>
              </w:rPr>
            </w:pPr>
            <w:r>
              <w:rPr>
                <w:rFonts w:hint="eastAsia" w:ascii="Times New Roman" w:hAnsi="Times New Roman" w:eastAsia="宋体"/>
                <w:b/>
              </w:rPr>
              <w:t>这节课</w:t>
            </w:r>
            <w:r>
              <w:rPr>
                <w:rFonts w:ascii="Times New Roman" w:hAnsi="Times New Roman" w:eastAsia="宋体"/>
                <w:b/>
              </w:rPr>
              <w:t>上一起学习了</w:t>
            </w:r>
            <w:r>
              <w:rPr>
                <w:rFonts w:hint="eastAsia" w:ascii="宋体" w:hAnsi="宋体" w:eastAsia="宋体" w:cs="宋体"/>
                <w:b/>
                <w:kern w:val="0"/>
                <w:szCs w:val="24"/>
              </w:rPr>
              <w:t>大学生择业中常见心理问题及调适</w:t>
            </w:r>
            <w:r>
              <w:rPr>
                <w:rFonts w:hint="eastAsia" w:ascii="Times New Roman" w:hAnsi="Times New Roman" w:eastAsia="宋体"/>
                <w:b/>
              </w:rPr>
              <w:t>。因此明白了大学生求职就业的过程是告别大学生活的过程，也是通过社会同用人单位打交道，自我推销的过程，这其中困难重重，不仅有来自外部的许多障碍，而且还会遇到大学生本身在就业中产生的一些心理问题。</w:t>
            </w:r>
          </w:p>
          <w:p w14:paraId="177C1B6C">
            <w:pPr>
              <w:spacing w:line="360" w:lineRule="auto"/>
              <w:rPr>
                <w:rFonts w:ascii="Times New Roman" w:hAnsi="Times New Roman" w:eastAsia="宋体"/>
              </w:rPr>
            </w:pPr>
            <w:r>
              <w:rPr>
                <w:rFonts w:hint="eastAsia" w:ascii="Times New Roman" w:hAnsi="Times New Roman" w:eastAsia="宋体"/>
                <w:szCs w:val="24"/>
              </w:rPr>
              <w:t>【</w:t>
            </w:r>
            <w:r>
              <w:rPr>
                <w:rFonts w:hint="eastAsia" w:ascii="Times New Roman" w:hAnsi="Times New Roman" w:eastAsia="宋体"/>
                <w:b/>
                <w:szCs w:val="24"/>
              </w:rPr>
              <w:t>学生</w:t>
            </w:r>
            <w:r>
              <w:rPr>
                <w:rFonts w:hint="eastAsia" w:ascii="Times New Roman" w:hAnsi="Times New Roman" w:eastAsia="宋体"/>
                <w:szCs w:val="24"/>
              </w:rPr>
              <w:t>】</w:t>
            </w:r>
            <w:r>
              <w:rPr>
                <w:rFonts w:hint="eastAsia" w:ascii="Times New Roman" w:hAnsi="Times New Roman" w:eastAsia="宋体"/>
                <w:b/>
                <w:bCs/>
                <w:color w:val="CC0066"/>
              </w:rPr>
              <w:t>理解、记忆</w:t>
            </w:r>
          </w:p>
        </w:tc>
        <w:tc>
          <w:tcPr>
            <w:tcW w:w="1617" w:type="dxa"/>
            <w:tcBorders>
              <w:top w:val="dashSmallGap" w:color="4874CB" w:themeColor="accent1" w:sz="4" w:space="0"/>
              <w:left w:val="dashSmallGap" w:color="E54C5E" w:themeColor="accent6" w:sz="4" w:space="0"/>
              <w:bottom w:val="dashSmallGap" w:color="F4B382" w:themeColor="accent2" w:themeTint="99" w:sz="4" w:space="0"/>
            </w:tcBorders>
            <w:shd w:val="clear" w:color="auto" w:fill="F8FFF5"/>
            <w:vAlign w:val="center"/>
          </w:tcPr>
          <w:p w14:paraId="34ABDEFF">
            <w:pPr>
              <w:spacing w:line="360" w:lineRule="auto"/>
              <w:rPr>
                <w:rFonts w:ascii="Times New Roman" w:hAnsi="Times New Roman" w:eastAsia="宋体"/>
                <w:b w:val="0"/>
                <w:bCs/>
              </w:rPr>
            </w:pPr>
            <w:r>
              <w:rPr>
                <w:rFonts w:hint="eastAsia" w:ascii="Times New Roman" w:hAnsi="Times New Roman" w:eastAsia="宋体"/>
                <w:b w:val="0"/>
                <w:bCs/>
              </w:rPr>
              <w:t>通过对所学知识的回顾，培养学生的归纳总结能力。</w:t>
            </w:r>
          </w:p>
        </w:tc>
      </w:tr>
      <w:tr w14:paraId="579DBC4A">
        <w:trPr>
          <w:trHeight w:val="567" w:hRule="atLeast"/>
          <w:jc w:val="center"/>
        </w:trPr>
        <w:tc>
          <w:tcPr>
            <w:tcW w:w="1538" w:type="dxa"/>
            <w:tcBorders>
              <w:top w:val="dashSmallGap" w:color="F4B382" w:themeColor="accent2" w:themeTint="99" w:sz="4" w:space="0"/>
              <w:bottom w:val="dashSmallGap" w:color="F4B382" w:themeColor="accent2" w:themeTint="99" w:sz="4" w:space="0"/>
              <w:right w:val="dashSmallGap" w:color="F4B382" w:themeColor="accent2" w:themeTint="99" w:sz="4" w:space="0"/>
            </w:tcBorders>
            <w:shd w:val="clear" w:color="auto" w:fill="E3F2D9" w:themeFill="accent4" w:themeFillTint="32"/>
            <w:vAlign w:val="center"/>
          </w:tcPr>
          <w:p w14:paraId="418D14C0">
            <w:pPr>
              <w:spacing w:line="360" w:lineRule="auto"/>
              <w:jc w:val="center"/>
              <w:rPr>
                <w:rFonts w:ascii="Times New Roman" w:hAnsi="Times New Roman" w:eastAsia="宋体"/>
                <w:color w:val="249087" w:themeColor="accent5" w:themeShade="BF"/>
              </w:rPr>
            </w:pPr>
            <w:r>
              <w:rPr>
                <w:rFonts w:hint="eastAsia" w:ascii="微软雅黑" w:hAnsi="微软雅黑" w:eastAsia="微软雅黑"/>
                <w:b/>
                <w:color w:val="843F0B" w:themeColor="accent2" w:themeShade="80"/>
                <w:sz w:val="24"/>
                <w:szCs w:val="24"/>
              </w:rPr>
              <w:t>作业布置</w:t>
            </w:r>
            <w:r>
              <w:rPr>
                <w:rFonts w:ascii="Times New Roman" w:hAnsi="Times New Roman" w:eastAsia="宋体"/>
                <w:color w:val="843F0B" w:themeColor="accent2" w:themeShade="80"/>
                <w:szCs w:val="24"/>
              </w:rPr>
              <w:t>（2</w:t>
            </w:r>
            <w:r>
              <w:rPr>
                <w:rFonts w:hint="eastAsia" w:ascii="Times New Roman" w:hAnsi="Times New Roman" w:eastAsia="宋体"/>
                <w:color w:val="843F0B" w:themeColor="accent2" w:themeShade="80"/>
                <w:szCs w:val="24"/>
              </w:rPr>
              <w:t>min</w:t>
            </w:r>
            <w:r>
              <w:rPr>
                <w:rFonts w:ascii="Times New Roman" w:hAnsi="Times New Roman" w:eastAsia="宋体"/>
                <w:color w:val="843F0B" w:themeColor="accent2" w:themeShade="80"/>
                <w:szCs w:val="24"/>
              </w:rPr>
              <w:t>）</w:t>
            </w:r>
          </w:p>
        </w:tc>
        <w:tc>
          <w:tcPr>
            <w:tcW w:w="7050" w:type="dxa"/>
            <w:tcBorders>
              <w:top w:val="dashSmallGap" w:color="F4B382" w:themeColor="accent2" w:themeTint="99" w:sz="4" w:space="0"/>
              <w:left w:val="dashSmallGap" w:color="F4B382" w:themeColor="accent2" w:themeTint="99" w:sz="4" w:space="0"/>
              <w:bottom w:val="dashSmallGap" w:color="F4B382" w:themeColor="accent2" w:themeTint="99" w:sz="4" w:space="0"/>
              <w:right w:val="dashSmallGap" w:color="F4B382" w:themeColor="accent2" w:themeTint="99" w:sz="4" w:space="0"/>
            </w:tcBorders>
            <w:shd w:val="clear" w:color="auto" w:fill="FEFFE9"/>
            <w:vAlign w:val="center"/>
          </w:tcPr>
          <w:p w14:paraId="224A2E61">
            <w:pPr>
              <w:spacing w:line="360" w:lineRule="auto"/>
              <w:rPr>
                <w:rFonts w:ascii="Times New Roman" w:hAnsi="Times New Roman" w:eastAsia="宋体"/>
              </w:rPr>
            </w:pPr>
            <w:r>
              <w:rPr>
                <w:rFonts w:hint="eastAsia" w:ascii="Times New Roman" w:hAnsi="Times New Roman" w:eastAsia="宋体"/>
                <w:szCs w:val="24"/>
              </w:rPr>
              <w:t>【</w:t>
            </w:r>
            <w:r>
              <w:rPr>
                <w:rFonts w:hint="eastAsia" w:ascii="Times New Roman" w:hAnsi="Times New Roman" w:eastAsia="宋体"/>
                <w:b/>
                <w:szCs w:val="24"/>
              </w:rPr>
              <w:t>教师</w:t>
            </w:r>
            <w:r>
              <w:rPr>
                <w:rFonts w:hint="eastAsia" w:ascii="Times New Roman" w:hAnsi="Times New Roman" w:eastAsia="宋体"/>
                <w:szCs w:val="24"/>
              </w:rPr>
              <w:t>】</w:t>
            </w:r>
            <w:r>
              <w:rPr>
                <w:rFonts w:hint="eastAsia" w:ascii="Times New Roman" w:hAnsi="Times New Roman" w:eastAsia="宋体"/>
                <w:b/>
                <w:color w:val="CC0066"/>
              </w:rPr>
              <w:t>布置课后作业</w:t>
            </w:r>
          </w:p>
          <w:p w14:paraId="258C883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b/>
                <w:lang w:eastAsia="zh-CN"/>
              </w:rPr>
            </w:pPr>
            <w:r>
              <w:rPr>
                <w:rFonts w:hint="eastAsia" w:ascii="Times New Roman" w:hAnsi="Times New Roman" w:eastAsia="宋体"/>
                <w:b/>
                <w:lang w:eastAsia="zh-CN"/>
              </w:rPr>
              <w:t>简述</w:t>
            </w:r>
            <w:r>
              <w:rPr>
                <w:rFonts w:hint="eastAsia" w:ascii="Times New Roman" w:hAnsi="Times New Roman" w:eastAsia="宋体"/>
                <w:b/>
              </w:rPr>
              <w:t>大学生择业中常见心理问题</w:t>
            </w:r>
            <w:r>
              <w:rPr>
                <w:rFonts w:hint="eastAsia" w:ascii="Times New Roman" w:hAnsi="Times New Roman" w:eastAsia="宋体"/>
                <w:b/>
                <w:lang w:eastAsia="zh-CN"/>
              </w:rPr>
              <w:t>。</w:t>
            </w:r>
          </w:p>
        </w:tc>
        <w:tc>
          <w:tcPr>
            <w:tcW w:w="1617" w:type="dxa"/>
            <w:tcBorders>
              <w:top w:val="dashSmallGap" w:color="F4B382" w:themeColor="accent2" w:themeTint="99" w:sz="4" w:space="0"/>
              <w:left w:val="dashSmallGap" w:color="F4B382" w:themeColor="accent2" w:themeTint="99" w:sz="4" w:space="0"/>
              <w:bottom w:val="dashSmallGap" w:color="F4B382" w:themeColor="accent2" w:themeTint="99" w:sz="4" w:space="0"/>
            </w:tcBorders>
            <w:shd w:val="clear" w:color="auto" w:fill="FEFFE9"/>
            <w:vAlign w:val="center"/>
          </w:tcPr>
          <w:p w14:paraId="5D254672">
            <w:pPr>
              <w:spacing w:line="360" w:lineRule="auto"/>
              <w:rPr>
                <w:rFonts w:ascii="Times New Roman" w:hAnsi="Times New Roman" w:eastAsia="宋体"/>
                <w:b w:val="0"/>
                <w:bCs/>
              </w:rPr>
            </w:pPr>
            <w:r>
              <w:rPr>
                <w:rFonts w:hint="eastAsia" w:ascii="Times New Roman" w:hAnsi="Times New Roman" w:eastAsia="宋体"/>
                <w:b w:val="0"/>
                <w:bCs/>
              </w:rPr>
              <w:t>通过课后练习，使学生巩固所学新知识</w:t>
            </w:r>
          </w:p>
        </w:tc>
      </w:tr>
      <w:tr w14:paraId="2E9C8FC5">
        <w:trPr>
          <w:trHeight w:val="567" w:hRule="atLeast"/>
          <w:jc w:val="center"/>
        </w:trPr>
        <w:tc>
          <w:tcPr>
            <w:tcW w:w="1538" w:type="dxa"/>
            <w:tcBorders>
              <w:top w:val="double" w:color="833F0A" w:themeColor="accent2" w:themeShade="7F" w:sz="4" w:space="0"/>
            </w:tcBorders>
            <w:shd w:val="clear" w:color="auto" w:fill="ACD78D" w:themeFill="accent4" w:themeFillTint="99"/>
            <w:vAlign w:val="center"/>
          </w:tcPr>
          <w:p w14:paraId="35DBBA56">
            <w:pPr>
              <w:spacing w:line="360" w:lineRule="auto"/>
              <w:jc w:val="center"/>
              <w:rPr>
                <w:rFonts w:ascii="微软雅黑" w:hAnsi="微软雅黑" w:eastAsia="微软雅黑"/>
                <w:b/>
                <w:color w:val="851321" w:themeColor="accent6" w:themeShade="80"/>
                <w:sz w:val="24"/>
                <w:szCs w:val="24"/>
              </w:rPr>
            </w:pPr>
            <w:r>
              <w:rPr>
                <w:rFonts w:hint="eastAsia" w:ascii="微软雅黑" w:hAnsi="微软雅黑" w:eastAsia="微软雅黑"/>
                <w:b/>
                <w:color w:val="843F0B" w:themeColor="accent2" w:themeShade="80"/>
                <w:sz w:val="24"/>
                <w:szCs w:val="24"/>
              </w:rPr>
              <w:t>教学反思</w:t>
            </w:r>
          </w:p>
        </w:tc>
        <w:tc>
          <w:tcPr>
            <w:tcW w:w="8667" w:type="dxa"/>
            <w:gridSpan w:val="2"/>
            <w:tcBorders>
              <w:top w:val="double" w:color="833F0A" w:themeColor="accent2" w:themeShade="7F" w:sz="4" w:space="0"/>
            </w:tcBorders>
            <w:shd w:val="clear" w:color="auto" w:fill="ACD78D" w:themeFill="accent4" w:themeFillTint="99"/>
            <w:vAlign w:val="center"/>
          </w:tcPr>
          <w:p w14:paraId="7D862DC6">
            <w:pPr>
              <w:spacing w:line="360" w:lineRule="auto"/>
              <w:rPr>
                <w:rFonts w:ascii="Times New Roman" w:hAnsi="Times New Roman"/>
              </w:rPr>
            </w:pPr>
            <w:r>
              <w:rPr>
                <w:rFonts w:hint="eastAsia" w:ascii="Times New Roman" w:hAnsi="Times New Roman"/>
              </w:rPr>
              <w:t>心理健康教育课的重点在于活动中的体验，绝不能为了活动而活动，活动应该有主题，有核心。心理健康教育课也应该坚持一个核心，并围绕这个核心，“行散神不散”。</w:t>
            </w:r>
          </w:p>
        </w:tc>
      </w:tr>
    </w:tbl>
    <w:p w14:paraId="1CD61DC9"/>
    <w:p w14:paraId="2F472A12"/>
    <w:sectPr>
      <w:pgSz w:w="11906" w:h="16838"/>
      <w:pgMar w:top="567" w:right="567" w:bottom="567" w:left="567" w:header="567" w:footer="567"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微软简老宋">
    <w:altName w:val="汉仪书宋二KW"/>
    <w:panose1 w:val="00000000000000000000"/>
    <w:charset w:val="00"/>
    <w:family w:val="auto"/>
    <w:pitch w:val="default"/>
    <w:sig w:usb0="00000000" w:usb1="00000000" w:usb2="00000000" w:usb3="00000000" w:csb0="00000000" w:csb1="00000000"/>
  </w:font>
  <w:font w:name="华文琥珀">
    <w:altName w:val="宋体-简"/>
    <w:panose1 w:val="02010800040101010101"/>
    <w:charset w:val="86"/>
    <w:family w:val="auto"/>
    <w:pitch w:val="default"/>
    <w:sig w:usb0="00000000" w:usb1="00000000" w:usb2="00000000" w:usb3="00000000" w:csb0="00040000" w:csb1="00000000"/>
  </w:font>
  <w:font w:name="Times New Roman Bold">
    <w:panose1 w:val="02020503050405090304"/>
    <w:charset w:val="00"/>
    <w:family w:val="auto"/>
    <w:pitch w:val="default"/>
    <w:sig w:usb0="E0000AFF" w:usb1="00007843" w:usb2="00000001" w:usb3="00000000" w:csb0="400001BF" w:csb1="DFF7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儷宋 Pro">
    <w:panose1 w:val="02020300000000000000"/>
    <w:charset w:val="88"/>
    <w:family w:val="auto"/>
    <w:pitch w:val="default"/>
    <w:sig w:usb0="80000001" w:usb1="28091800" w:usb2="00000016" w:usb3="00000000" w:csb0="00100000" w:csb1="00000000"/>
  </w:font>
  <w:font w:name="宋体-简">
    <w:panose1 w:val="02010800040101010101"/>
    <w:charset w:val="86"/>
    <w:family w:val="auto"/>
    <w:pitch w:val="default"/>
    <w:sig w:usb0="00000001" w:usb1="080F0000" w:usb2="00000000"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B4659">
    <w:pPr>
      <w:pStyle w:val="3"/>
    </w:pPr>
    <w:r>
      <w:rPr>
        <w:sz w:val="18"/>
      </w:rPr>
      <mc:AlternateContent>
        <mc:Choice Requires="wps">
          <w:drawing>
            <wp:anchor distT="0" distB="0" distL="114300" distR="114300" simplePos="0" relativeHeight="251662336" behindDoc="0" locked="0" layoutInCell="1" allowOverlap="1">
              <wp:simplePos x="0" y="0"/>
              <wp:positionH relativeFrom="column">
                <wp:posOffset>2927985</wp:posOffset>
              </wp:positionH>
              <wp:positionV relativeFrom="paragraph">
                <wp:posOffset>-3375660</wp:posOffset>
              </wp:positionV>
              <wp:extent cx="1343025" cy="447675"/>
              <wp:effectExtent l="0" t="0" r="9525" b="9525"/>
              <wp:wrapNone/>
              <wp:docPr id="4" name="矩形 4"/>
              <wp:cNvGraphicFramePr/>
              <a:graphic xmlns:a="http://schemas.openxmlformats.org/drawingml/2006/main">
                <a:graphicData uri="http://schemas.microsoft.com/office/word/2010/wordprocessingShape">
                  <wps:wsp>
                    <wps:cNvSpPr/>
                    <wps:spPr>
                      <a:xfrm>
                        <a:off x="3489960" y="6546850"/>
                        <a:ext cx="1343025" cy="447675"/>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0.55pt;margin-top:-265.8pt;height:35.25pt;width:105.75pt;z-index:251662336;v-text-anchor:middle;mso-width-relative:page;mso-height-relative:page;" fillcolor="#FFFFFF [3212]" filled="t" stroked="f" coordsize="21600,21600" o:gfxdata="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eNw4N2wAAAA0BAAAPAAAAAAAAAAEAIAAAACIA&#10;AABkcnMvZG93bnJldi54bWxQSwECFAAUAAAACACHTuJAS0vXEHgCAADXBAAADgAAAAAAAAABACAA&#10;AAAqAQAAZHJzL2Uyb0RvYy54bWxQSwUGAAAAAAYABgBZAQAAFAYAAAAA&#10;">
              <v:fill on="t" focussize="0,0"/>
              <v:stroke on="f" weight="1pt" miterlimit="8" joinstyle="miter"/>
              <v:imagedata o:title=""/>
              <o:lock v:ext="edit" aspectratio="f"/>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62533">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3DF4CF">
    <w:pPr>
      <w:pStyle w:val="4"/>
    </w:pPr>
    <w:r>
      <w:drawing>
        <wp:anchor distT="0" distB="0" distL="114300" distR="114300" simplePos="0" relativeHeight="251659264" behindDoc="0" locked="0" layoutInCell="1" allowOverlap="1">
          <wp:simplePos x="0" y="0"/>
          <wp:positionH relativeFrom="column">
            <wp:posOffset>-1270</wp:posOffset>
          </wp:positionH>
          <wp:positionV relativeFrom="paragraph">
            <wp:posOffset>-55245</wp:posOffset>
          </wp:positionV>
          <wp:extent cx="6659880" cy="9719945"/>
          <wp:effectExtent l="125095" t="150495" r="130175" b="3159760"/>
          <wp:wrapNone/>
          <wp:docPr id="13" name="图片 13" descr="11_01"/>
          <wp:cNvGraphicFramePr/>
          <a:graphic xmlns:a="http://schemas.openxmlformats.org/drawingml/2006/main">
            <a:graphicData uri="http://schemas.openxmlformats.org/drawingml/2006/picture">
              <pic:pic xmlns:pic="http://schemas.openxmlformats.org/drawingml/2006/picture">
                <pic:nvPicPr>
                  <pic:cNvPr id="13" name="图片 13" descr="11_01"/>
                  <pic:cNvPicPr/>
                </pic:nvPicPr>
                <pic:blipFill>
                  <a:blip r:embed="rId1"/>
                  <a:stretch>
                    <a:fillRect/>
                  </a:stretch>
                </pic:blipFill>
                <pic:spPr>
                  <a:xfrm>
                    <a:off x="0" y="0"/>
                    <a:ext cx="6659880" cy="9719945"/>
                  </a:xfrm>
                  <a:prstGeom prst="rect">
                    <a:avLst/>
                  </a:prstGeom>
                  <a:effectLst>
                    <a:outerShdw blurRad="63500" sx="102000" sy="102000" algn="ctr" rotWithShape="0">
                      <a:prstClr val="black">
                        <a:alpha val="40000"/>
                      </a:prstClr>
                    </a:outerShdw>
                    <a:reflection blurRad="6350" stA="15000" endA="300" endPos="35000" dir="5400000" sy="-100000" algn="bl" rotWithShape="0"/>
                  </a:effectLst>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B7A733">
    <w:pPr>
      <w:pStyle w:val="4"/>
    </w:pPr>
    <w:r>
      <w:drawing>
        <wp:anchor distT="0" distB="0" distL="114300" distR="114300" simplePos="0" relativeHeight="251660288" behindDoc="0" locked="0" layoutInCell="1" allowOverlap="1">
          <wp:simplePos x="0" y="0"/>
          <wp:positionH relativeFrom="column">
            <wp:posOffset>-1270</wp:posOffset>
          </wp:positionH>
          <wp:positionV relativeFrom="paragraph">
            <wp:posOffset>-55245</wp:posOffset>
          </wp:positionV>
          <wp:extent cx="6659880" cy="9719945"/>
          <wp:effectExtent l="125095" t="150495" r="130175" b="3159760"/>
          <wp:wrapNone/>
          <wp:docPr id="1" name="图片 1" descr="11_01"/>
          <wp:cNvGraphicFramePr/>
          <a:graphic xmlns:a="http://schemas.openxmlformats.org/drawingml/2006/main">
            <a:graphicData uri="http://schemas.openxmlformats.org/drawingml/2006/picture">
              <pic:pic xmlns:pic="http://schemas.openxmlformats.org/drawingml/2006/picture">
                <pic:nvPicPr>
                  <pic:cNvPr id="1" name="图片 1" descr="11_01"/>
                  <pic:cNvPicPr/>
                </pic:nvPicPr>
                <pic:blipFill>
                  <a:blip r:embed="rId1"/>
                  <a:stretch>
                    <a:fillRect/>
                  </a:stretch>
                </pic:blipFill>
                <pic:spPr>
                  <a:xfrm>
                    <a:off x="0" y="0"/>
                    <a:ext cx="6659880" cy="9719945"/>
                  </a:xfrm>
                  <a:prstGeom prst="rect">
                    <a:avLst/>
                  </a:prstGeom>
                  <a:effectLst>
                    <a:outerShdw blurRad="63500" sx="102000" sy="102000" algn="ctr" rotWithShape="0">
                      <a:prstClr val="black">
                        <a:alpha val="40000"/>
                      </a:prstClr>
                    </a:outerShdw>
                    <a:reflection blurRad="6350" stA="15000" endA="300" endPos="35000" dir="5400000" sy="-100000" algn="bl" rotWithShape="0"/>
                  </a:effectLst>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4"/>
      <w:pBdr>
        <w:bottom w:val="none" w:color="auto" w:sz="0" w:space="0"/>
      </w:pBdr>
    </w:pPr>
    <w:r>
      <w:rPr>
        <w:sz w:val="18"/>
      </w:rPr>
      <mc:AlternateContent>
        <mc:Choice Requires="wps">
          <w:drawing>
            <wp:anchor distT="0" distB="0" distL="114300" distR="114300" simplePos="0" relativeHeight="251663360" behindDoc="0" locked="0" layoutInCell="1" allowOverlap="1">
              <wp:simplePos x="0" y="0"/>
              <wp:positionH relativeFrom="column">
                <wp:posOffset>8890</wp:posOffset>
              </wp:positionH>
              <wp:positionV relativeFrom="paragraph">
                <wp:posOffset>-6985</wp:posOffset>
              </wp:positionV>
              <wp:extent cx="6841490" cy="9972040"/>
              <wp:effectExtent l="6350" t="6350" r="10160" b="22860"/>
              <wp:wrapNone/>
              <wp:docPr id="12" name="圆角矩形 12"/>
              <wp:cNvGraphicFramePr/>
              <a:graphic xmlns:a="http://schemas.openxmlformats.org/drawingml/2006/main">
                <a:graphicData uri="http://schemas.microsoft.com/office/word/2010/wordprocessingShape">
                  <wps:wsp>
                    <wps:cNvSpPr/>
                    <wps:spPr>
                      <a:xfrm>
                        <a:off x="0" y="0"/>
                        <a:ext cx="6841490" cy="9972040"/>
                      </a:xfrm>
                      <a:prstGeom prst="roundRect">
                        <a:avLst>
                          <a:gd name="adj" fmla="val 1693"/>
                        </a:avLst>
                      </a:prstGeom>
                      <a:solidFill>
                        <a:schemeClr val="bg1"/>
                      </a:solidFill>
                      <a:ln>
                        <a:gradFill>
                          <a:gsLst>
                            <a:gs pos="100000">
                              <a:srgbClr val="B3CED5"/>
                            </a:gs>
                            <a:gs pos="0">
                              <a:srgbClr val="DDE3D8"/>
                            </a:gs>
                          </a:gsLst>
                          <a:lin ang="5400000" scaled="0"/>
                        </a:gra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7pt;margin-top:-0.55pt;height:785.2pt;width:538.7pt;z-index:251663360;v-text-anchor:middle;mso-width-relative:page;mso-height-relative:page;" fillcolor="#FFFFFF [3212]" filled="t" stroked="t" coordsize="21600,21600" arcsize="0.0169444444444444" o:gfxdata="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E3QcrrYAAAACgEAAA8AAAAAAAAAAQAgAAAAIgAAAGRycy9kb3ducmV2LnhtbFBLAQIUABQAAAAI&#10;AIdO4kBGWCTF0QIAAKcFAAAOAAAAAAAAAAEAIAAAACcBAABkcnMvZTJvRG9jLnhtbFBLBQYAAAAA&#10;BgAGAFkBAABqBgAAAAA=&#10;">
              <v:fill on="t" focussize="0,0"/>
              <v:stroke weight="1pt" color="#000000" miterlimit="8" joinstyle="miter"/>
              <v:imagedata o:title=""/>
              <o:lock v:ext="edit" aspectratio="f"/>
            </v:round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91E6A">
    <w:pPr>
      <w:pStyle w:val="4"/>
      <w:pBdr>
        <w:bottom w:val="none" w:color="auto" w:sz="0" w:space="1"/>
      </w:pBdr>
    </w:pPr>
    <w:r>
      <w:rPr>
        <w:sz w:val="18"/>
      </w:rPr>
      <mc:AlternateContent>
        <mc:Choice Requires="wps">
          <w:drawing>
            <wp:anchor distT="0" distB="0" distL="114300" distR="114300" simplePos="0" relativeHeight="251664384" behindDoc="0" locked="0" layoutInCell="1" allowOverlap="1">
              <wp:simplePos x="0" y="0"/>
              <wp:positionH relativeFrom="column">
                <wp:posOffset>1905</wp:posOffset>
              </wp:positionH>
              <wp:positionV relativeFrom="paragraph">
                <wp:posOffset>-20320</wp:posOffset>
              </wp:positionV>
              <wp:extent cx="6841490" cy="9972040"/>
              <wp:effectExtent l="6350" t="6350" r="10160" b="22860"/>
              <wp:wrapNone/>
              <wp:docPr id="14" name="圆角矩形 14"/>
              <wp:cNvGraphicFramePr/>
              <a:graphic xmlns:a="http://schemas.openxmlformats.org/drawingml/2006/main">
                <a:graphicData uri="http://schemas.microsoft.com/office/word/2010/wordprocessingShape">
                  <wps:wsp>
                    <wps:cNvSpPr/>
                    <wps:spPr>
                      <a:xfrm>
                        <a:off x="0" y="0"/>
                        <a:ext cx="6841490" cy="9972040"/>
                      </a:xfrm>
                      <a:prstGeom prst="roundRect">
                        <a:avLst>
                          <a:gd name="adj" fmla="val 1693"/>
                        </a:avLst>
                      </a:prstGeom>
                      <a:solidFill>
                        <a:schemeClr val="bg1"/>
                      </a:solidFill>
                      <a:ln>
                        <a:gradFill>
                          <a:gsLst>
                            <a:gs pos="100000">
                              <a:srgbClr val="B3CED5"/>
                            </a:gs>
                            <a:gs pos="0">
                              <a:srgbClr val="DDE3D8"/>
                            </a:gs>
                          </a:gsLst>
                          <a:lin ang="5400000" scaled="0"/>
                        </a:gra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15pt;margin-top:-1.6pt;height:785.2pt;width:538.7pt;z-index:251664384;v-text-anchor:middle;mso-width-relative:page;mso-height-relative:page;" fillcolor="#FFFFFF [3212]" filled="t" stroked="t" coordsize="21600,21600" arcsize="0.0169444444444444" o:gfxdata="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nomOkNoAAAAJAQAADwAAAAAAAAABACAAAAAiAAAAZHJzL2Rvd25yZXYueG1sUEsBAhQAFAAA&#10;AAgAh07iQP6/+3jRAgAApwUAAA4AAAAAAAAAAQAgAAAAKQEAAGRycy9lMm9Eb2MueG1sUEsFBgAA&#10;AAAGAAYAWQEAAGwGAAAAAA==&#10;">
              <v:fill on="t" focussize="0,0"/>
              <v:stroke weight="1pt" color="#000000" miterlimit="8" joinstyle="miter"/>
              <v:imagedata o:title=""/>
              <o:lock v:ext="edit" aspectratio="f"/>
            </v:round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A853D99"/>
    <w:multiLevelType w:val="multilevel"/>
    <w:tmpl w:val="6A853D99"/>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displayBackgroundShape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4A25437"/>
    <w:rsid w:val="1A5F23BB"/>
    <w:rsid w:val="1AEF4210"/>
    <w:rsid w:val="34FEA1DE"/>
    <w:rsid w:val="3F7FACE9"/>
    <w:rsid w:val="54A25437"/>
    <w:rsid w:val="5F4F5BF4"/>
    <w:rsid w:val="5F5B6638"/>
    <w:rsid w:val="6FA70A6B"/>
    <w:rsid w:val="77F036C3"/>
    <w:rsid w:val="78ED93CF"/>
    <w:rsid w:val="B7AD7C2A"/>
    <w:rsid w:val="D56FBD9A"/>
    <w:rsid w:val="F3FFF9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Title"/>
    <w:basedOn w:val="1"/>
    <w:qFormat/>
    <w:uiPriority w:val="0"/>
    <w:pPr>
      <w:spacing w:before="240" w:beforeLines="0" w:beforeAutospacing="0" w:after="60" w:afterLines="0" w:afterAutospacing="0"/>
      <w:jc w:val="center"/>
      <w:outlineLvl w:val="0"/>
    </w:pPr>
    <w:rPr>
      <w:rFonts w:ascii="Arial" w:hAnsi="Arial"/>
      <w:b/>
      <w:sz w:val="32"/>
    </w:rPr>
  </w:style>
  <w:style w:type="table" w:styleId="7">
    <w:name w:val="Table Grid"/>
    <w:basedOn w:val="6"/>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9">
    <w:name w:val="习题正文"/>
    <w:basedOn w:val="2"/>
    <w:next w:val="1"/>
    <w:qFormat/>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5"/>
    <w:next w:val="1"/>
    <w:qFormat/>
    <w:uiPriority w:val="0"/>
    <w:pPr>
      <w:adjustRightInd w:val="0"/>
      <w:spacing w:line="288" w:lineRule="auto"/>
    </w:pPr>
    <w:rPr>
      <w:rFonts w:hint="eastAsia" w:ascii="微软雅黑" w:hAnsi="微软雅黑" w:eastAsia="微软雅黑" w:cs="微软雅黑"/>
      <w:color w:val="000000"/>
      <w:sz w:val="40"/>
    </w:rPr>
  </w:style>
  <w:style w:type="paragraph" w:customStyle="1" w:styleId="11">
    <w:name w:val="Heading #3|1"/>
    <w:basedOn w:val="1"/>
    <w:qFormat/>
    <w:uiPriority w:val="0"/>
    <w:pPr>
      <w:spacing w:after="160"/>
      <w:outlineLvl w:val="2"/>
    </w:pPr>
    <w:rPr>
      <w:rFonts w:ascii="宋体" w:hAnsi="宋体" w:cs="宋体"/>
      <w:color w:val="EC008D"/>
      <w:sz w:val="20"/>
      <w:szCs w:val="20"/>
      <w:lang w:val="zh-TW" w:eastAsia="zh-TW" w:bidi="zh-TW"/>
    </w:r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Body text|1"/>
    <w:basedOn w:val="1"/>
    <w:unhideWhenUsed/>
    <w:qFormat/>
    <w:uiPriority w:val="0"/>
    <w:pPr>
      <w:spacing w:line="360" w:lineRule="auto"/>
      <w:ind w:firstLine="400"/>
    </w:pPr>
    <w:rPr>
      <w:rFonts w:ascii="宋体" w:hAnsi="宋体" w:cs="宋体"/>
      <w:sz w:val="20"/>
      <w:szCs w:val="20"/>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3.png"/><Relationship Id="rId11" Type="http://schemas.openxmlformats.org/officeDocument/2006/relationships/image" Target="media/image2.jpe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0</Words>
  <Characters>0</Characters>
  <Lines>0</Lines>
  <Paragraphs>0</Paragraphs>
  <TotalTime>26</TotalTime>
  <ScaleCrop>false</ScaleCrop>
  <LinksUpToDate>false</LinksUpToDate>
  <CharactersWithSpaces>0</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2025-07-10T10:53:00Z</dcterms:created>
  <dc:creator>六月</dc:creator>
  <cp:lastModifiedBy>无谓</cp:lastModifiedBy>
  <dcterms:modified xsi:type="dcterms:W3CDTF">2025-07-14T23:47:42Z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3650A8D29E44D4A217CB6C68474BDCAA_43</vt:lpwstr>
  </property>
  <property fmtid="{D5CDD505-2E9C-101B-9397-08002B2CF9AE}" pid="4" name="KSOTemplateDocerSaveRecord">
    <vt:lpwstr>eyJoZGlkIjoiOTcxZjc4Y2ViNTBlZDVmZTI3YTAxZGE1NWVmM2E2NDEiLCJ1c2VySWQiOiI0MDMzMDA2MzYifQ==</vt:lpwstr>
  </property>
</Properties>
</file>