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v:background id="_x0000_s1025">
      <v:fill type="frame" on="t" color2="#FFFFFF" o:title="Abstract white background" focussize="0,0" recolor="t" r:id="rId11"/>
    </v:background>
  </w:background>
  <w:body>
    <w:p w14:paraId="6B8FD70B">
      <w:pPr>
        <w:sectPr>
          <w:headerReference r:id="rId4" w:type="first"/>
          <w:footerReference r:id="rId5" w:type="first"/>
          <w:headerReference r:id="rId3" w:type="default"/>
          <w:pgSz w:w="11906" w:h="16838"/>
          <w:pgMar w:top="720" w:right="720" w:bottom="720" w:left="720" w:header="851" w:footer="850" w:gutter="0"/>
          <w:cols w:space="425" w:num="1"/>
          <w:titlePg/>
          <w:docGrid w:type="lines" w:linePitch="312" w:charSpace="0"/>
        </w:sectPr>
      </w:pPr>
      <w:r>
        <w:rPr>
          <w:sz w:val="21"/>
        </w:rPr>
        <mc:AlternateContent>
          <mc:Choice Requires="wps">
            <w:drawing>
              <wp:anchor distT="0" distB="0" distL="114300" distR="114300" simplePos="0" relativeHeight="251661312" behindDoc="0" locked="0" layoutInCell="1" allowOverlap="1">
                <wp:simplePos x="0" y="0"/>
                <wp:positionH relativeFrom="column">
                  <wp:posOffset>2186305</wp:posOffset>
                </wp:positionH>
                <wp:positionV relativeFrom="paragraph">
                  <wp:posOffset>5650865</wp:posOffset>
                </wp:positionV>
                <wp:extent cx="2258060" cy="7239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2258060" cy="7239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8490D4">
                            <w:pPr>
                              <w:jc w:val="right"/>
                              <w:rPr>
                                <w:rFonts w:hint="default" w:ascii="微软简老宋" w:hAnsi="微软简老宋" w:eastAsia="微软简老宋" w:cs="微软简老宋"/>
                                <w:color w:val="595959" w:themeColor="text1" w:themeTint="A6"/>
                                <w:sz w:val="48"/>
                                <w:szCs w:val="48"/>
                                <w:lang w:val="en-US" w:eastAsia="zh-CN"/>
                                <w14:textFill>
                                  <w14:solidFill>
                                    <w14:schemeClr w14:val="tx1">
                                      <w14:lumMod w14:val="65000"/>
                                      <w14:lumOff w14:val="35000"/>
                                    </w14:schemeClr>
                                  </w14:solidFill>
                                </w14:textFill>
                              </w:rPr>
                            </w:pPr>
                            <w:r>
                              <w:rPr>
                                <w:rFonts w:hint="eastAsia" w:ascii="微软简老宋" w:hAnsi="微软简老宋" w:eastAsia="微软简老宋" w:cs="微软简老宋"/>
                                <w:color w:val="595959" w:themeColor="text1" w:themeTint="A6"/>
                                <w:sz w:val="48"/>
                                <w:szCs w:val="48"/>
                                <w:lang w:val="en-US" w:eastAsia="zh-CN"/>
                                <w14:textFill>
                                  <w14:solidFill>
                                    <w14:schemeClr w14:val="tx1">
                                      <w14:lumMod w14:val="65000"/>
                                      <w14:lumOff w14:val="35000"/>
                                    </w14:schemeClr>
                                  </w14:solidFill>
                                </w14:textFill>
                              </w:rPr>
                              <w:t>电子教案</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202" type="#_x0000_t202" style="position:absolute;left:0pt;margin-left:172.15pt;margin-top:444.95pt;height:57pt;width:177.8pt;z-index:251661312;v-text-anchor:middle;mso-width-relative:page;mso-height-relative:page;" filled="f" stroked="f" coordsize="21600,21600" o:gfxdata="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M/RNYtsAAAAMAQAADwAAAAAAAAABACAAAAAiAAAA&#10;ZHJzL2Rvd25yZXYueG1sUEsBAhQAFAAAAAgAh07iQF2agWQ9AgAAaAQAAA4AAAAAAAAAAQAgAAAA&#10;KgEAAGRycy9lMm9Eb2MueG1sUEsFBgAAAAAGAAYAWQEAANkFAAAAAA==&#10;">
                <v:fill on="f" focussize="0,0"/>
                <v:stroke on="f" weight="0.5pt"/>
                <v:imagedata o:title=""/>
                <o:lock v:ext="edit" aspectratio="f"/>
                <v:textbox>
                  <w:txbxContent>
                    <w:p w14:paraId="278490D4">
                      <w:pPr>
                        <w:jc w:val="right"/>
                        <w:rPr>
                          <w:rFonts w:hint="default" w:ascii="微软简老宋" w:hAnsi="微软简老宋" w:eastAsia="微软简老宋" w:cs="微软简老宋"/>
                          <w:color w:val="595959" w:themeColor="text1" w:themeTint="A6"/>
                          <w:sz w:val="48"/>
                          <w:szCs w:val="48"/>
                          <w:lang w:val="en-US" w:eastAsia="zh-CN"/>
                          <w14:textFill>
                            <w14:solidFill>
                              <w14:schemeClr w14:val="tx1">
                                <w14:lumMod w14:val="65000"/>
                                <w14:lumOff w14:val="35000"/>
                              </w14:schemeClr>
                            </w14:solidFill>
                          </w14:textFill>
                        </w:rPr>
                      </w:pPr>
                      <w:r>
                        <w:rPr>
                          <w:rFonts w:hint="eastAsia" w:ascii="微软简老宋" w:hAnsi="微软简老宋" w:eastAsia="微软简老宋" w:cs="微软简老宋"/>
                          <w:color w:val="595959" w:themeColor="text1" w:themeTint="A6"/>
                          <w:sz w:val="48"/>
                          <w:szCs w:val="48"/>
                          <w:lang w:val="en-US" w:eastAsia="zh-CN"/>
                          <w14:textFill>
                            <w14:solidFill>
                              <w14:schemeClr w14:val="tx1">
                                <w14:lumMod w14:val="65000"/>
                                <w14:lumOff w14:val="35000"/>
                              </w14:schemeClr>
                            </w14:solidFill>
                          </w14:textFill>
                        </w:rPr>
                        <w:t>电子教案</w:t>
                      </w:r>
                    </w:p>
                  </w:txbxContent>
                </v:textbox>
              </v:shape>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2277110</wp:posOffset>
                </wp:positionH>
                <wp:positionV relativeFrom="paragraph">
                  <wp:posOffset>8003540</wp:posOffset>
                </wp:positionV>
                <wp:extent cx="2076450" cy="438150"/>
                <wp:effectExtent l="0" t="0" r="0" b="0"/>
                <wp:wrapNone/>
                <wp:docPr id="7" name="文本框 7"/>
                <wp:cNvGraphicFramePr/>
                <a:graphic xmlns:a="http://schemas.openxmlformats.org/drawingml/2006/main">
                  <a:graphicData uri="http://schemas.microsoft.com/office/word/2010/wordprocessingShape">
                    <wps:wsp>
                      <wps:cNvSpPr txBox="1"/>
                      <wps:spPr>
                        <a:xfrm>
                          <a:off x="2747010" y="8328025"/>
                          <a:ext cx="2076450" cy="4381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6F6DC9DE">
                            <w:pPr>
                              <w:jc w:val="center"/>
                              <w:rPr>
                                <w:rFonts w:hint="eastAsia" w:ascii="微软简老宋" w:hAnsi="微软简老宋" w:eastAsia="微软简老宋" w:cs="微软简老宋"/>
                                <w:color w:val="595959" w:themeColor="text1" w:themeTint="A6"/>
                                <w:sz w:val="28"/>
                                <w:szCs w:val="28"/>
                                <w:lang w:val="en-US" w:eastAsia="zh-CN"/>
                                <w14:textFill>
                                  <w14:solidFill>
                                    <w14:schemeClr w14:val="tx1">
                                      <w14:lumMod w14:val="65000"/>
                                      <w14:lumOff w14:val="35000"/>
                                    </w14:schemeClr>
                                  </w14:solidFill>
                                </w14:textFill>
                              </w:rPr>
                            </w:pPr>
                            <w:r>
                              <w:rPr>
                                <w:rFonts w:hint="eastAsia" w:ascii="微软简老宋" w:hAnsi="微软简老宋" w:eastAsia="微软简老宋" w:cs="微软简老宋"/>
                                <w:color w:val="595959" w:themeColor="text1" w:themeTint="A6"/>
                                <w:sz w:val="28"/>
                                <w:szCs w:val="28"/>
                                <w:lang w:val="en-US" w:eastAsia="zh-CN"/>
                                <w14:textFill>
                                  <w14:solidFill>
                                    <w14:schemeClr w14:val="tx1">
                                      <w14:lumMod w14:val="65000"/>
                                      <w14:lumOff w14:val="35000"/>
                                    </w14:schemeClr>
                                  </w14:solidFill>
                                </w14:textFill>
                              </w:rPr>
                              <w:t>北京出版社</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202" type="#_x0000_t202" style="position:absolute;left:0pt;margin-left:179.3pt;margin-top:630.2pt;height:34.5pt;width:163.5pt;z-index:251660288;v-text-anchor:middle;mso-width-relative:page;mso-height-relative:page;" fillcolor="#FFFFFF [3201]" filled="t" stroked="f" coordsize="21600,21600" o:gfxdata="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V6gP8&#10;2AAAAA0BAAAPAAAAAAAAAAEAIAAAACIAAABkcnMvZG93bnJldi54bWxQSwECFAAUAAAACACHTuJA&#10;BMkuIFoCAACdBAAADgAAAAAAAAABACAAAAAnAQAAZHJzL2Uyb0RvYy54bWxQSwUGAAAAAAYABgBZ&#10;AQAA8wUAAAAA&#10;">
                <v:fill on="t" focussize="0,0"/>
                <v:stroke on="f" weight="0.5pt"/>
                <v:imagedata o:title=""/>
                <o:lock v:ext="edit" aspectratio="f"/>
                <v:textbox>
                  <w:txbxContent>
                    <w:p w14:paraId="6F6DC9DE">
                      <w:pPr>
                        <w:jc w:val="center"/>
                        <w:rPr>
                          <w:rFonts w:hint="eastAsia" w:ascii="微软简老宋" w:hAnsi="微软简老宋" w:eastAsia="微软简老宋" w:cs="微软简老宋"/>
                          <w:color w:val="595959" w:themeColor="text1" w:themeTint="A6"/>
                          <w:sz w:val="28"/>
                          <w:szCs w:val="28"/>
                          <w:lang w:val="en-US" w:eastAsia="zh-CN"/>
                          <w14:textFill>
                            <w14:solidFill>
                              <w14:schemeClr w14:val="tx1">
                                <w14:lumMod w14:val="65000"/>
                                <w14:lumOff w14:val="35000"/>
                              </w14:schemeClr>
                            </w14:solidFill>
                          </w14:textFill>
                        </w:rPr>
                      </w:pPr>
                      <w:r>
                        <w:rPr>
                          <w:rFonts w:hint="eastAsia" w:ascii="微软简老宋" w:hAnsi="微软简老宋" w:eastAsia="微软简老宋" w:cs="微软简老宋"/>
                          <w:color w:val="595959" w:themeColor="text1" w:themeTint="A6"/>
                          <w:sz w:val="28"/>
                          <w:szCs w:val="28"/>
                          <w:lang w:val="en-US" w:eastAsia="zh-CN"/>
                          <w14:textFill>
                            <w14:solidFill>
                              <w14:schemeClr w14:val="tx1">
                                <w14:lumMod w14:val="65000"/>
                                <w14:lumOff w14:val="35000"/>
                              </w14:schemeClr>
                            </w14:solidFill>
                          </w14:textFill>
                        </w:rPr>
                        <w:t>北京出版社</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-15240</wp:posOffset>
                </wp:positionH>
                <wp:positionV relativeFrom="paragraph">
                  <wp:posOffset>3299460</wp:posOffset>
                </wp:positionV>
                <wp:extent cx="6659880" cy="899795"/>
                <wp:effectExtent l="0" t="0" r="7620" b="14605"/>
                <wp:wrapNone/>
                <wp:docPr id="9" name="矩形 9"/>
                <wp:cNvGraphicFramePr/>
                <a:graphic xmlns:a="http://schemas.openxmlformats.org/drawingml/2006/main">
                  <a:graphicData uri="http://schemas.microsoft.com/office/word/2010/wordprocessingShape">
                    <wps:wsp>
                      <wps:cNvSpPr/>
                      <wps:spPr>
                        <a:xfrm>
                          <a:off x="0" y="0"/>
                          <a:ext cx="6659880" cy="899795"/>
                        </a:xfrm>
                        <a:prstGeom prst="rect">
                          <a:avLst/>
                        </a:prstGeom>
                        <a:solidFill>
                          <a:srgbClr val="FDC100">
                            <a:alpha val="2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2pt;margin-top:259.8pt;height:70.85pt;width:524.4pt;z-index:251659264;v-text-anchor:middle;mso-width-relative:page;mso-height-relative:page;" fillcolor="#FDC100" filled="t" stroked="f" coordsize="21600,21600" o:gfxdata="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FlBJ23YAAAACwEAAA8AAAAAAAAAAQAgAAAAIgAA&#10;AGRycy9kb3ducmV2LnhtbFBLAQIUABQAAAAIAIdO4kCC7LnhegIAAOwEAAAOAAAAAAAAAAEAIAAA&#10;ACcBAABkcnMvZTJvRG9jLnhtbFBLBQYAAAAABgAGAFkBAAATBgAAAAA=&#10;">
                <v:fill on="t" opacity="13107f" focussize="0,0"/>
                <v:stroke on="f" weight="1pt" miterlimit="8" joinstyle="miter"/>
                <v:imagedata o:title=""/>
                <o:lock v:ext="edit" aspectratio="f"/>
              </v: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434975</wp:posOffset>
                </wp:positionH>
                <wp:positionV relativeFrom="paragraph">
                  <wp:posOffset>3299460</wp:posOffset>
                </wp:positionV>
                <wp:extent cx="5760085" cy="899795"/>
                <wp:effectExtent l="0" t="0" r="0" b="0"/>
                <wp:wrapNone/>
                <wp:docPr id="6" name="文本框 6"/>
                <wp:cNvGraphicFramePr/>
                <a:graphic xmlns:a="http://schemas.openxmlformats.org/drawingml/2006/main">
                  <a:graphicData uri="http://schemas.microsoft.com/office/word/2010/wordprocessingShape">
                    <wps:wsp>
                      <wps:cNvSpPr txBox="1"/>
                      <wps:spPr>
                        <a:xfrm>
                          <a:off x="0" y="0"/>
                          <a:ext cx="5760085" cy="8997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DB3A94">
                            <w:pPr>
                              <w:rPr>
                                <w:rFonts w:hint="eastAsia"/>
                                <w:b/>
                                <w:bCs w:val="0"/>
                                <w:sz w:val="96"/>
                                <w:szCs w:val="96"/>
                                <w:lang w:val="en-US" w:eastAsia="zh-CN"/>
                              </w:rPr>
                            </w:pPr>
                            <w:r>
                              <w:rPr>
                                <w:rFonts w:hint="eastAsia"/>
                                <w:b/>
                                <w:bCs w:val="0"/>
                                <w:sz w:val="96"/>
                                <w:szCs w:val="96"/>
                                <w:lang w:val="en-US" w:eastAsia="zh-CN"/>
                              </w:rPr>
                              <w:t>大学生心理健康教育</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25pt;margin-top:259.8pt;height:70.85pt;width:453.55pt;z-index:251659264;mso-width-relative:page;mso-height-relative:page;" filled="f" stroked="f" coordsize="21600,21600" o:gfxdata="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&#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K/BsabbAAAACgEAAA8AAAAAAAAAAQAgAAAAIgAAAGRy&#10;cy9kb3ducmV2LnhtbFBLAQIUABQAAAAIAIdO4kCt3xwZOwIAAGYEAAAOAAAAAAAAAAEAIAAAACoB&#10;AABkcnMvZTJvRG9jLnhtbFBLBQYAAAAABgAGAFkBAADXBQAAAAA=&#10;">
                <v:fill on="f" focussize="0,0"/>
                <v:stroke on="f" weight="0.5pt"/>
                <v:imagedata o:title=""/>
                <o:lock v:ext="edit" aspectratio="f"/>
                <v:textbox>
                  <w:txbxContent>
                    <w:p w14:paraId="1DDB3A94">
                      <w:pPr>
                        <w:rPr>
                          <w:rFonts w:hint="eastAsia"/>
                          <w:b/>
                          <w:bCs w:val="0"/>
                          <w:sz w:val="96"/>
                          <w:szCs w:val="96"/>
                          <w:lang w:val="en-US" w:eastAsia="zh-CN"/>
                        </w:rPr>
                      </w:pPr>
                      <w:r>
                        <w:rPr>
                          <w:rFonts w:hint="eastAsia"/>
                          <w:b/>
                          <w:bCs w:val="0"/>
                          <w:sz w:val="96"/>
                          <w:szCs w:val="96"/>
                          <w:lang w:val="en-US" w:eastAsia="zh-CN"/>
                        </w:rPr>
                        <w:t>大学生心理健康教育</w:t>
                      </w:r>
                    </w:p>
                  </w:txbxContent>
                </v:textbox>
              </v:shape>
            </w:pict>
          </mc:Fallback>
        </mc:AlternateContent>
      </w:r>
    </w:p>
    <w:p w14:paraId="341C0E38">
      <w:pPr>
        <w:keepNext/>
        <w:keepLines/>
        <w:spacing w:before="240" w:after="240" w:line="720" w:lineRule="auto"/>
        <w:jc w:val="center"/>
        <w:outlineLvl w:val="0"/>
        <w:rPr>
          <w:rFonts w:ascii="黑体" w:hAnsi="黑体" w:eastAsia="黑体"/>
          <w:b/>
          <w:bCs/>
          <w:kern w:val="44"/>
          <w:sz w:val="36"/>
          <w:szCs w:val="36"/>
        </w:rPr>
      </w:pPr>
      <w:r>
        <w:rPr>
          <w:rFonts w:ascii="黑体" w:hAnsi="黑体" w:eastAsia="黑体"/>
          <w:b/>
          <w:bCs/>
          <w:kern w:val="44"/>
          <w:sz w:val="36"/>
          <w:szCs w:val="36"/>
        </w:rPr>
        <w:t>课时安排</w:t>
      </w:r>
    </w:p>
    <w:tbl>
      <w:tblPr>
        <w:tblStyle w:val="6"/>
        <w:tblW w:w="10205" w:type="dxa"/>
        <w:jc w:val="center"/>
        <w:tblBorders>
          <w:top w:val="double" w:color="3A5E20" w:themeColor="accent4" w:themeShade="7F" w:sz="4" w:space="0"/>
          <w:left w:val="double" w:color="3A5E20" w:themeColor="accent4" w:themeShade="7F" w:sz="4" w:space="0"/>
          <w:bottom w:val="double" w:color="3A5E20" w:themeColor="accent4" w:themeShade="7F" w:sz="4" w:space="0"/>
          <w:right w:val="double" w:color="3A5E20" w:themeColor="accent4" w:themeShade="7F" w:sz="4" w:space="0"/>
          <w:insideH w:val="single" w:color="3A5E20" w:themeColor="accent4" w:themeShade="7F" w:sz="4" w:space="0"/>
          <w:insideV w:val="single" w:color="3A5E20" w:themeColor="accent4" w:themeShade="7F" w:sz="4" w:space="0"/>
        </w:tblBorders>
        <w:tblLayout w:type="autofit"/>
        <w:tblCellMar>
          <w:top w:w="0" w:type="dxa"/>
          <w:left w:w="108" w:type="dxa"/>
          <w:bottom w:w="0" w:type="dxa"/>
          <w:right w:w="108" w:type="dxa"/>
        </w:tblCellMar>
      </w:tblPr>
      <w:tblGrid>
        <w:gridCol w:w="1183"/>
        <w:gridCol w:w="5120"/>
        <w:gridCol w:w="2150"/>
        <w:gridCol w:w="1752"/>
      </w:tblGrid>
      <w:tr w14:paraId="57457DD3">
        <w:trPr>
          <w:cantSplit/>
          <w:trHeight w:val="850" w:hRule="atLeast"/>
          <w:jc w:val="center"/>
        </w:trPr>
        <w:tc>
          <w:tcPr>
            <w:tcW w:w="954" w:type="dxa"/>
            <w:tcBorders>
              <w:tl2br w:val="nil"/>
              <w:tr2bl w:val="nil"/>
            </w:tcBorders>
            <w:shd w:val="clear" w:color="auto" w:fill="C7E4B3" w:themeFill="accent4" w:themeFillTint="66"/>
            <w:vAlign w:val="center"/>
          </w:tcPr>
          <w:p w14:paraId="1FED9E2C">
            <w:pPr>
              <w:spacing w:line="360" w:lineRule="auto"/>
              <w:ind w:leftChars="-8" w:hanging="17" w:hangingChars="7"/>
              <w:jc w:val="center"/>
              <w:rPr>
                <w:rFonts w:hint="eastAsia" w:ascii="黑体" w:hAnsi="黑体" w:eastAsia="黑体" w:cs="黑体"/>
                <w:b/>
                <w:bCs/>
                <w:color w:val="843F0B" w:themeColor="accent2" w:themeShade="80"/>
                <w:sz w:val="24"/>
                <w:szCs w:val="24"/>
              </w:rPr>
            </w:pPr>
            <w:r>
              <w:rPr>
                <w:rFonts w:hint="eastAsia" w:ascii="黑体" w:hAnsi="黑体" w:eastAsia="黑体" w:cs="黑体"/>
                <w:b/>
                <w:bCs/>
                <w:color w:val="843F0B" w:themeColor="accent2" w:themeShade="80"/>
                <w:sz w:val="24"/>
                <w:szCs w:val="24"/>
              </w:rPr>
              <w:t>章节</w:t>
            </w:r>
          </w:p>
        </w:tc>
        <w:tc>
          <w:tcPr>
            <w:tcW w:w="4128" w:type="dxa"/>
            <w:tcBorders>
              <w:tl2br w:val="nil"/>
              <w:tr2bl w:val="nil"/>
            </w:tcBorders>
            <w:shd w:val="clear" w:color="auto" w:fill="C7E4B3" w:themeFill="accent4" w:themeFillTint="66"/>
            <w:vAlign w:val="center"/>
          </w:tcPr>
          <w:p w14:paraId="39F7AED3">
            <w:pPr>
              <w:spacing w:line="360" w:lineRule="auto"/>
              <w:ind w:firstLine="26"/>
              <w:jc w:val="center"/>
              <w:rPr>
                <w:rFonts w:hint="eastAsia" w:ascii="黑体" w:hAnsi="黑体" w:eastAsia="黑体" w:cs="黑体"/>
                <w:b/>
                <w:bCs/>
                <w:color w:val="843F0B" w:themeColor="accent2" w:themeShade="80"/>
                <w:sz w:val="24"/>
                <w:szCs w:val="24"/>
              </w:rPr>
            </w:pPr>
            <w:r>
              <w:rPr>
                <w:rFonts w:hint="eastAsia" w:ascii="黑体" w:hAnsi="黑体" w:eastAsia="黑体" w:cs="黑体"/>
                <w:b/>
                <w:bCs/>
                <w:color w:val="843F0B" w:themeColor="accent2" w:themeShade="80"/>
                <w:sz w:val="24"/>
                <w:szCs w:val="24"/>
              </w:rPr>
              <w:t>课程内容</w:t>
            </w:r>
          </w:p>
        </w:tc>
        <w:tc>
          <w:tcPr>
            <w:tcW w:w="1733" w:type="dxa"/>
            <w:tcBorders>
              <w:tl2br w:val="nil"/>
              <w:tr2bl w:val="nil"/>
            </w:tcBorders>
            <w:shd w:val="clear" w:color="auto" w:fill="C7E4B3" w:themeFill="accent4" w:themeFillTint="66"/>
            <w:vAlign w:val="center"/>
          </w:tcPr>
          <w:p w14:paraId="4B8B02E2">
            <w:pPr>
              <w:spacing w:line="360" w:lineRule="auto"/>
              <w:jc w:val="center"/>
              <w:rPr>
                <w:rFonts w:hint="eastAsia" w:ascii="黑体" w:hAnsi="黑体" w:eastAsia="黑体" w:cs="黑体"/>
                <w:b/>
                <w:bCs/>
                <w:color w:val="843F0B" w:themeColor="accent2" w:themeShade="80"/>
                <w:sz w:val="24"/>
                <w:szCs w:val="24"/>
              </w:rPr>
            </w:pPr>
            <w:r>
              <w:rPr>
                <w:rFonts w:hint="eastAsia" w:ascii="黑体" w:hAnsi="黑体" w:eastAsia="黑体" w:cs="黑体"/>
                <w:b/>
                <w:bCs/>
                <w:color w:val="843F0B" w:themeColor="accent2" w:themeShade="80"/>
                <w:sz w:val="24"/>
                <w:szCs w:val="24"/>
              </w:rPr>
              <w:t>课 时</w:t>
            </w:r>
          </w:p>
        </w:tc>
        <w:tc>
          <w:tcPr>
            <w:tcW w:w="1412" w:type="dxa"/>
            <w:tcBorders>
              <w:tl2br w:val="nil"/>
              <w:tr2bl w:val="nil"/>
            </w:tcBorders>
            <w:shd w:val="clear" w:color="auto" w:fill="C7E4B3" w:themeFill="accent4" w:themeFillTint="66"/>
            <w:vAlign w:val="center"/>
          </w:tcPr>
          <w:p w14:paraId="7705041B">
            <w:pPr>
              <w:spacing w:line="360" w:lineRule="auto"/>
              <w:jc w:val="center"/>
              <w:rPr>
                <w:rFonts w:hint="eastAsia" w:ascii="黑体" w:hAnsi="黑体" w:eastAsia="黑体" w:cs="黑体"/>
                <w:b/>
                <w:bCs/>
                <w:color w:val="843F0B" w:themeColor="accent2" w:themeShade="80"/>
                <w:sz w:val="24"/>
                <w:szCs w:val="24"/>
              </w:rPr>
            </w:pPr>
            <w:r>
              <w:rPr>
                <w:rFonts w:hint="eastAsia" w:ascii="黑体" w:hAnsi="黑体" w:eastAsia="黑体" w:cs="黑体"/>
                <w:b/>
                <w:bCs/>
                <w:color w:val="843F0B" w:themeColor="accent2" w:themeShade="80"/>
                <w:sz w:val="24"/>
                <w:szCs w:val="24"/>
              </w:rPr>
              <w:t>备 注</w:t>
            </w:r>
          </w:p>
        </w:tc>
      </w:tr>
      <w:tr w14:paraId="43FBEF2F">
        <w:trPr>
          <w:trHeight w:val="850" w:hRule="atLeast"/>
          <w:jc w:val="center"/>
        </w:trPr>
        <w:tc>
          <w:tcPr>
            <w:tcW w:w="954" w:type="dxa"/>
            <w:tcBorders>
              <w:tl2br w:val="nil"/>
              <w:tr2bl w:val="nil"/>
            </w:tcBorders>
            <w:shd w:val="clear" w:color="auto" w:fill="auto"/>
            <w:vAlign w:val="center"/>
          </w:tcPr>
          <w:p w14:paraId="6649F037">
            <w:pPr>
              <w:spacing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4128" w:type="dxa"/>
            <w:tcBorders>
              <w:tl2br w:val="nil"/>
              <w:tr2bl w:val="nil"/>
            </w:tcBorders>
            <w:shd w:val="clear" w:color="auto" w:fill="auto"/>
            <w:vAlign w:val="center"/>
          </w:tcPr>
          <w:p w14:paraId="3B9784A1">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大学生心理健康导论</w:t>
            </w:r>
          </w:p>
        </w:tc>
        <w:tc>
          <w:tcPr>
            <w:tcW w:w="1733" w:type="dxa"/>
            <w:tcBorders>
              <w:tl2br w:val="nil"/>
              <w:tr2bl w:val="nil"/>
            </w:tcBorders>
            <w:shd w:val="clear" w:color="auto" w:fill="auto"/>
            <w:vAlign w:val="center"/>
          </w:tcPr>
          <w:p w14:paraId="0B37F85D">
            <w:pPr>
              <w:spacing w:line="360" w:lineRule="auto"/>
              <w:jc w:val="center"/>
              <w:rPr>
                <w:rFonts w:hint="eastAsia" w:ascii="宋体" w:hAnsi="宋体" w:eastAsia="宋体" w:cs="宋体"/>
                <w:b/>
                <w:sz w:val="24"/>
                <w:szCs w:val="24"/>
                <w:lang w:eastAsia="zh-CN"/>
              </w:rPr>
            </w:pPr>
            <w:r>
              <w:rPr>
                <w:rFonts w:hint="eastAsia" w:ascii="宋体" w:hAnsi="宋体" w:cs="宋体"/>
                <w:b/>
                <w:sz w:val="24"/>
                <w:szCs w:val="24"/>
                <w:lang w:val="en-US" w:eastAsia="zh-CN"/>
              </w:rPr>
              <w:t>2</w:t>
            </w:r>
          </w:p>
        </w:tc>
        <w:tc>
          <w:tcPr>
            <w:tcW w:w="1412" w:type="dxa"/>
            <w:tcBorders>
              <w:tl2br w:val="nil"/>
              <w:tr2bl w:val="nil"/>
            </w:tcBorders>
            <w:shd w:val="clear" w:color="auto" w:fill="auto"/>
            <w:vAlign w:val="center"/>
          </w:tcPr>
          <w:p w14:paraId="75D739D1">
            <w:pPr>
              <w:spacing w:line="360" w:lineRule="auto"/>
              <w:ind w:firstLine="425"/>
              <w:jc w:val="center"/>
              <w:rPr>
                <w:rFonts w:hint="eastAsia" w:ascii="宋体" w:hAnsi="宋体" w:eastAsia="宋体" w:cs="宋体"/>
                <w:sz w:val="24"/>
                <w:szCs w:val="24"/>
              </w:rPr>
            </w:pPr>
          </w:p>
        </w:tc>
      </w:tr>
      <w:tr w14:paraId="19382045">
        <w:trPr>
          <w:trHeight w:val="850" w:hRule="atLeast"/>
          <w:jc w:val="center"/>
        </w:trPr>
        <w:tc>
          <w:tcPr>
            <w:tcW w:w="954" w:type="dxa"/>
            <w:tcBorders>
              <w:tl2br w:val="nil"/>
              <w:tr2bl w:val="nil"/>
            </w:tcBorders>
            <w:shd w:val="clear" w:color="auto" w:fill="auto"/>
            <w:vAlign w:val="center"/>
          </w:tcPr>
          <w:p w14:paraId="5E9D9E44">
            <w:pPr>
              <w:spacing w:line="360" w:lineRule="auto"/>
              <w:jc w:val="center"/>
              <w:rPr>
                <w:rFonts w:hint="eastAsia" w:ascii="宋体" w:hAnsi="宋体" w:eastAsia="宋体" w:cs="宋体"/>
                <w:sz w:val="24"/>
                <w:szCs w:val="24"/>
              </w:rPr>
            </w:pPr>
            <w:r>
              <w:rPr>
                <w:rFonts w:hint="eastAsia" w:ascii="宋体" w:hAnsi="宋体" w:eastAsia="宋体" w:cs="宋体"/>
                <w:sz w:val="24"/>
                <w:szCs w:val="24"/>
              </w:rPr>
              <w:t>2</w:t>
            </w:r>
          </w:p>
        </w:tc>
        <w:tc>
          <w:tcPr>
            <w:tcW w:w="4128" w:type="dxa"/>
            <w:tcBorders>
              <w:tl2br w:val="nil"/>
              <w:tr2bl w:val="nil"/>
            </w:tcBorders>
            <w:shd w:val="clear" w:color="auto" w:fill="auto"/>
            <w:vAlign w:val="center"/>
          </w:tcPr>
          <w:p w14:paraId="309051CB">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大学生心理咨询与心理治疗</w:t>
            </w:r>
          </w:p>
        </w:tc>
        <w:tc>
          <w:tcPr>
            <w:tcW w:w="1733" w:type="dxa"/>
            <w:tcBorders>
              <w:tl2br w:val="nil"/>
              <w:tr2bl w:val="nil"/>
            </w:tcBorders>
            <w:shd w:val="clear" w:color="auto" w:fill="auto"/>
            <w:vAlign w:val="center"/>
          </w:tcPr>
          <w:p w14:paraId="4BFC92C3">
            <w:pPr>
              <w:spacing w:line="360" w:lineRule="auto"/>
              <w:jc w:val="center"/>
              <w:rPr>
                <w:rFonts w:hint="eastAsia" w:ascii="宋体" w:hAnsi="宋体" w:eastAsia="宋体" w:cs="宋体"/>
                <w:b/>
                <w:sz w:val="24"/>
                <w:szCs w:val="24"/>
                <w:lang w:eastAsia="zh-CN"/>
              </w:rPr>
            </w:pPr>
            <w:r>
              <w:rPr>
                <w:rFonts w:hint="eastAsia" w:ascii="宋体" w:hAnsi="宋体" w:cs="宋体"/>
                <w:b/>
                <w:sz w:val="24"/>
                <w:szCs w:val="24"/>
                <w:lang w:val="en-US" w:eastAsia="zh-CN"/>
              </w:rPr>
              <w:t>3</w:t>
            </w:r>
          </w:p>
        </w:tc>
        <w:tc>
          <w:tcPr>
            <w:tcW w:w="1412" w:type="dxa"/>
            <w:tcBorders>
              <w:tl2br w:val="nil"/>
              <w:tr2bl w:val="nil"/>
            </w:tcBorders>
            <w:shd w:val="clear" w:color="auto" w:fill="auto"/>
            <w:vAlign w:val="center"/>
          </w:tcPr>
          <w:p w14:paraId="6C46B2E9">
            <w:pPr>
              <w:spacing w:line="360" w:lineRule="auto"/>
              <w:ind w:firstLine="425"/>
              <w:jc w:val="center"/>
              <w:rPr>
                <w:rFonts w:hint="eastAsia" w:ascii="宋体" w:hAnsi="宋体" w:eastAsia="宋体" w:cs="宋体"/>
                <w:sz w:val="24"/>
                <w:szCs w:val="24"/>
              </w:rPr>
            </w:pPr>
          </w:p>
        </w:tc>
      </w:tr>
      <w:tr w14:paraId="36067FB2">
        <w:trPr>
          <w:trHeight w:val="850" w:hRule="atLeast"/>
          <w:jc w:val="center"/>
        </w:trPr>
        <w:tc>
          <w:tcPr>
            <w:tcW w:w="954" w:type="dxa"/>
            <w:tcBorders>
              <w:tl2br w:val="nil"/>
              <w:tr2bl w:val="nil"/>
            </w:tcBorders>
            <w:shd w:val="clear" w:color="auto" w:fill="auto"/>
            <w:vAlign w:val="center"/>
          </w:tcPr>
          <w:p w14:paraId="35B311B3">
            <w:pPr>
              <w:spacing w:line="360" w:lineRule="auto"/>
              <w:jc w:val="center"/>
              <w:rPr>
                <w:rFonts w:hint="eastAsia" w:ascii="宋体" w:hAnsi="宋体" w:eastAsia="宋体" w:cs="宋体"/>
                <w:sz w:val="24"/>
                <w:szCs w:val="24"/>
              </w:rPr>
            </w:pPr>
            <w:r>
              <w:rPr>
                <w:rFonts w:hint="eastAsia" w:ascii="宋体" w:hAnsi="宋体" w:eastAsia="宋体" w:cs="宋体"/>
                <w:sz w:val="24"/>
                <w:szCs w:val="24"/>
              </w:rPr>
              <w:t>3</w:t>
            </w:r>
          </w:p>
        </w:tc>
        <w:tc>
          <w:tcPr>
            <w:tcW w:w="4128" w:type="dxa"/>
            <w:tcBorders>
              <w:tl2br w:val="nil"/>
              <w:tr2bl w:val="nil"/>
            </w:tcBorders>
            <w:shd w:val="clear" w:color="auto" w:fill="auto"/>
            <w:vAlign w:val="center"/>
          </w:tcPr>
          <w:p w14:paraId="059089F5">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大学生常见心理困惑与异常心理</w:t>
            </w:r>
          </w:p>
        </w:tc>
        <w:tc>
          <w:tcPr>
            <w:tcW w:w="1733" w:type="dxa"/>
            <w:tcBorders>
              <w:tl2br w:val="nil"/>
              <w:tr2bl w:val="nil"/>
            </w:tcBorders>
            <w:shd w:val="clear" w:color="auto" w:fill="auto"/>
            <w:vAlign w:val="center"/>
          </w:tcPr>
          <w:p w14:paraId="08231BD6">
            <w:pPr>
              <w:spacing w:line="360" w:lineRule="auto"/>
              <w:jc w:val="center"/>
              <w:rPr>
                <w:rFonts w:hint="eastAsia" w:ascii="宋体" w:hAnsi="宋体" w:eastAsia="宋体" w:cs="宋体"/>
                <w:b/>
                <w:sz w:val="24"/>
                <w:szCs w:val="24"/>
                <w:lang w:eastAsia="zh-CN"/>
              </w:rPr>
            </w:pPr>
            <w:r>
              <w:rPr>
                <w:rFonts w:hint="eastAsia" w:ascii="宋体" w:hAnsi="宋体" w:cs="宋体"/>
                <w:b/>
                <w:sz w:val="24"/>
                <w:szCs w:val="24"/>
                <w:lang w:val="en-US" w:eastAsia="zh-CN"/>
              </w:rPr>
              <w:t>2</w:t>
            </w:r>
          </w:p>
        </w:tc>
        <w:tc>
          <w:tcPr>
            <w:tcW w:w="1412" w:type="dxa"/>
            <w:tcBorders>
              <w:tl2br w:val="nil"/>
              <w:tr2bl w:val="nil"/>
            </w:tcBorders>
            <w:shd w:val="clear" w:color="auto" w:fill="auto"/>
            <w:vAlign w:val="center"/>
          </w:tcPr>
          <w:p w14:paraId="3D0BE08D">
            <w:pPr>
              <w:spacing w:line="360" w:lineRule="auto"/>
              <w:ind w:firstLine="425"/>
              <w:jc w:val="center"/>
              <w:rPr>
                <w:rFonts w:hint="eastAsia" w:ascii="宋体" w:hAnsi="宋体" w:eastAsia="宋体" w:cs="宋体"/>
                <w:sz w:val="24"/>
                <w:szCs w:val="24"/>
              </w:rPr>
            </w:pPr>
          </w:p>
        </w:tc>
      </w:tr>
      <w:tr w14:paraId="247E5755">
        <w:trPr>
          <w:trHeight w:val="850" w:hRule="atLeast"/>
          <w:jc w:val="center"/>
        </w:trPr>
        <w:tc>
          <w:tcPr>
            <w:tcW w:w="954" w:type="dxa"/>
            <w:tcBorders>
              <w:tl2br w:val="nil"/>
              <w:tr2bl w:val="nil"/>
            </w:tcBorders>
            <w:shd w:val="clear" w:color="auto" w:fill="auto"/>
            <w:vAlign w:val="center"/>
          </w:tcPr>
          <w:p w14:paraId="559FDEE8">
            <w:pPr>
              <w:spacing w:line="360" w:lineRule="auto"/>
              <w:jc w:val="center"/>
              <w:rPr>
                <w:rFonts w:hint="eastAsia" w:ascii="宋体" w:hAnsi="宋体" w:eastAsia="宋体" w:cs="宋体"/>
                <w:sz w:val="24"/>
                <w:szCs w:val="24"/>
              </w:rPr>
            </w:pPr>
            <w:r>
              <w:rPr>
                <w:rFonts w:hint="eastAsia" w:ascii="宋体" w:hAnsi="宋体" w:eastAsia="宋体" w:cs="宋体"/>
                <w:sz w:val="24"/>
                <w:szCs w:val="24"/>
              </w:rPr>
              <w:t>4</w:t>
            </w:r>
          </w:p>
        </w:tc>
        <w:tc>
          <w:tcPr>
            <w:tcW w:w="4128" w:type="dxa"/>
            <w:tcBorders>
              <w:tl2br w:val="nil"/>
              <w:tr2bl w:val="nil"/>
            </w:tcBorders>
            <w:shd w:val="clear" w:color="auto" w:fill="auto"/>
            <w:vAlign w:val="center"/>
          </w:tcPr>
          <w:p w14:paraId="61D57F4A">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大学生自我意识与培养</w:t>
            </w:r>
          </w:p>
        </w:tc>
        <w:tc>
          <w:tcPr>
            <w:tcW w:w="1733" w:type="dxa"/>
            <w:tcBorders>
              <w:tl2br w:val="nil"/>
              <w:tr2bl w:val="nil"/>
            </w:tcBorders>
            <w:shd w:val="clear" w:color="auto" w:fill="auto"/>
            <w:vAlign w:val="center"/>
          </w:tcPr>
          <w:p w14:paraId="0E1B835C">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0419FCBA">
            <w:pPr>
              <w:spacing w:line="360" w:lineRule="auto"/>
              <w:ind w:firstLine="425"/>
              <w:jc w:val="center"/>
              <w:rPr>
                <w:rFonts w:hint="eastAsia" w:ascii="宋体" w:hAnsi="宋体" w:eastAsia="宋体" w:cs="宋体"/>
                <w:sz w:val="24"/>
                <w:szCs w:val="24"/>
              </w:rPr>
            </w:pPr>
          </w:p>
        </w:tc>
      </w:tr>
      <w:tr w14:paraId="72D69555">
        <w:trPr>
          <w:trHeight w:val="850" w:hRule="atLeast"/>
          <w:jc w:val="center"/>
        </w:trPr>
        <w:tc>
          <w:tcPr>
            <w:tcW w:w="954" w:type="dxa"/>
            <w:tcBorders>
              <w:tl2br w:val="nil"/>
              <w:tr2bl w:val="nil"/>
            </w:tcBorders>
            <w:shd w:val="clear" w:color="auto" w:fill="auto"/>
            <w:vAlign w:val="center"/>
          </w:tcPr>
          <w:p w14:paraId="22D60CE5">
            <w:pPr>
              <w:spacing w:line="360" w:lineRule="auto"/>
              <w:jc w:val="center"/>
              <w:rPr>
                <w:rFonts w:hint="eastAsia" w:ascii="宋体" w:hAnsi="宋体" w:eastAsia="宋体" w:cs="宋体"/>
                <w:sz w:val="24"/>
                <w:szCs w:val="24"/>
              </w:rPr>
            </w:pPr>
            <w:r>
              <w:rPr>
                <w:rFonts w:hint="eastAsia" w:ascii="宋体" w:hAnsi="宋体" w:eastAsia="宋体" w:cs="宋体"/>
                <w:sz w:val="24"/>
                <w:szCs w:val="24"/>
              </w:rPr>
              <w:t>5</w:t>
            </w:r>
          </w:p>
        </w:tc>
        <w:tc>
          <w:tcPr>
            <w:tcW w:w="4128" w:type="dxa"/>
            <w:tcBorders>
              <w:tl2br w:val="nil"/>
              <w:tr2bl w:val="nil"/>
            </w:tcBorders>
            <w:shd w:val="clear" w:color="auto" w:fill="auto"/>
            <w:vAlign w:val="center"/>
          </w:tcPr>
          <w:p w14:paraId="5BDE5723">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大学生人格发展与培养</w:t>
            </w:r>
          </w:p>
        </w:tc>
        <w:tc>
          <w:tcPr>
            <w:tcW w:w="1733" w:type="dxa"/>
            <w:tcBorders>
              <w:tl2br w:val="nil"/>
              <w:tr2bl w:val="nil"/>
            </w:tcBorders>
            <w:shd w:val="clear" w:color="auto" w:fill="auto"/>
            <w:vAlign w:val="center"/>
          </w:tcPr>
          <w:p w14:paraId="25E2B8CC">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7351FBD9">
            <w:pPr>
              <w:spacing w:line="360" w:lineRule="auto"/>
              <w:ind w:firstLine="425"/>
              <w:jc w:val="center"/>
              <w:rPr>
                <w:rFonts w:hint="eastAsia" w:ascii="宋体" w:hAnsi="宋体" w:eastAsia="宋体" w:cs="宋体"/>
                <w:sz w:val="24"/>
                <w:szCs w:val="24"/>
              </w:rPr>
            </w:pPr>
          </w:p>
        </w:tc>
      </w:tr>
      <w:tr w14:paraId="48C1D7A8">
        <w:trPr>
          <w:trHeight w:val="850" w:hRule="atLeast"/>
          <w:jc w:val="center"/>
        </w:trPr>
        <w:tc>
          <w:tcPr>
            <w:tcW w:w="954" w:type="dxa"/>
            <w:tcBorders>
              <w:tl2br w:val="nil"/>
              <w:tr2bl w:val="nil"/>
            </w:tcBorders>
            <w:shd w:val="clear" w:color="auto" w:fill="auto"/>
            <w:vAlign w:val="center"/>
          </w:tcPr>
          <w:p w14:paraId="6D8A7B8A">
            <w:pPr>
              <w:spacing w:line="360" w:lineRule="auto"/>
              <w:jc w:val="center"/>
              <w:rPr>
                <w:rFonts w:hint="eastAsia" w:ascii="宋体" w:hAnsi="宋体" w:eastAsia="宋体" w:cs="宋体"/>
                <w:sz w:val="24"/>
                <w:szCs w:val="24"/>
              </w:rPr>
            </w:pPr>
            <w:r>
              <w:rPr>
                <w:rFonts w:hint="eastAsia" w:ascii="宋体" w:hAnsi="宋体" w:eastAsia="宋体" w:cs="宋体"/>
                <w:sz w:val="24"/>
                <w:szCs w:val="24"/>
              </w:rPr>
              <w:t>6</w:t>
            </w:r>
          </w:p>
        </w:tc>
        <w:tc>
          <w:tcPr>
            <w:tcW w:w="4128" w:type="dxa"/>
            <w:tcBorders>
              <w:tl2br w:val="nil"/>
              <w:tr2bl w:val="nil"/>
            </w:tcBorders>
            <w:shd w:val="clear" w:color="auto" w:fill="auto"/>
            <w:vAlign w:val="center"/>
          </w:tcPr>
          <w:p w14:paraId="6074B705">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大学生职业生涯规划与择业心理 </w:t>
            </w:r>
          </w:p>
        </w:tc>
        <w:tc>
          <w:tcPr>
            <w:tcW w:w="1733" w:type="dxa"/>
            <w:tcBorders>
              <w:tl2br w:val="nil"/>
              <w:tr2bl w:val="nil"/>
            </w:tcBorders>
            <w:shd w:val="clear" w:color="auto" w:fill="auto"/>
            <w:vAlign w:val="center"/>
          </w:tcPr>
          <w:p w14:paraId="2A6B19AC">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4CE4B7C8">
            <w:pPr>
              <w:spacing w:line="360" w:lineRule="auto"/>
              <w:ind w:firstLine="425"/>
              <w:jc w:val="center"/>
              <w:rPr>
                <w:rFonts w:hint="eastAsia" w:ascii="宋体" w:hAnsi="宋体" w:eastAsia="宋体" w:cs="宋体"/>
                <w:sz w:val="24"/>
                <w:szCs w:val="24"/>
              </w:rPr>
            </w:pPr>
          </w:p>
        </w:tc>
      </w:tr>
      <w:tr w14:paraId="2C1E77FF">
        <w:trPr>
          <w:trHeight w:val="850" w:hRule="atLeast"/>
          <w:jc w:val="center"/>
        </w:trPr>
        <w:tc>
          <w:tcPr>
            <w:tcW w:w="954" w:type="dxa"/>
            <w:tcBorders>
              <w:tl2br w:val="nil"/>
              <w:tr2bl w:val="nil"/>
            </w:tcBorders>
            <w:shd w:val="clear" w:color="auto" w:fill="auto"/>
            <w:vAlign w:val="center"/>
          </w:tcPr>
          <w:p w14:paraId="611789F1">
            <w:pPr>
              <w:spacing w:line="360" w:lineRule="auto"/>
              <w:jc w:val="center"/>
              <w:rPr>
                <w:rFonts w:hint="eastAsia" w:ascii="宋体" w:hAnsi="宋体" w:eastAsia="宋体" w:cs="宋体"/>
                <w:sz w:val="24"/>
                <w:szCs w:val="24"/>
              </w:rPr>
            </w:pPr>
            <w:r>
              <w:rPr>
                <w:rFonts w:hint="eastAsia" w:ascii="宋体" w:hAnsi="宋体" w:eastAsia="宋体" w:cs="宋体"/>
                <w:sz w:val="24"/>
                <w:szCs w:val="24"/>
              </w:rPr>
              <w:t>7</w:t>
            </w:r>
          </w:p>
        </w:tc>
        <w:tc>
          <w:tcPr>
            <w:tcW w:w="4128" w:type="dxa"/>
            <w:tcBorders>
              <w:tl2br w:val="nil"/>
              <w:tr2bl w:val="nil"/>
            </w:tcBorders>
            <w:shd w:val="clear" w:color="auto" w:fill="auto"/>
            <w:vAlign w:val="center"/>
          </w:tcPr>
          <w:p w14:paraId="2988A971">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大学生学习心理与创造性思维培养 </w:t>
            </w:r>
          </w:p>
        </w:tc>
        <w:tc>
          <w:tcPr>
            <w:tcW w:w="1733" w:type="dxa"/>
            <w:tcBorders>
              <w:tl2br w:val="nil"/>
              <w:tr2bl w:val="nil"/>
            </w:tcBorders>
            <w:shd w:val="clear" w:color="auto" w:fill="auto"/>
            <w:vAlign w:val="center"/>
          </w:tcPr>
          <w:p w14:paraId="252844E2">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4</w:t>
            </w:r>
          </w:p>
        </w:tc>
        <w:tc>
          <w:tcPr>
            <w:tcW w:w="1412" w:type="dxa"/>
            <w:tcBorders>
              <w:tl2br w:val="nil"/>
              <w:tr2bl w:val="nil"/>
            </w:tcBorders>
            <w:shd w:val="clear" w:color="auto" w:fill="auto"/>
            <w:vAlign w:val="center"/>
          </w:tcPr>
          <w:p w14:paraId="05A76096">
            <w:pPr>
              <w:spacing w:line="360" w:lineRule="auto"/>
              <w:ind w:firstLine="425"/>
              <w:jc w:val="center"/>
              <w:rPr>
                <w:rFonts w:hint="eastAsia" w:ascii="宋体" w:hAnsi="宋体" w:eastAsia="宋体" w:cs="宋体"/>
                <w:sz w:val="24"/>
                <w:szCs w:val="24"/>
              </w:rPr>
            </w:pPr>
          </w:p>
        </w:tc>
      </w:tr>
      <w:tr w14:paraId="200F0F2B">
        <w:trPr>
          <w:trHeight w:val="850" w:hRule="atLeast"/>
          <w:jc w:val="center"/>
        </w:trPr>
        <w:tc>
          <w:tcPr>
            <w:tcW w:w="954" w:type="dxa"/>
            <w:tcBorders>
              <w:tl2br w:val="nil"/>
              <w:tr2bl w:val="nil"/>
            </w:tcBorders>
            <w:shd w:val="clear" w:color="auto" w:fill="auto"/>
            <w:vAlign w:val="center"/>
          </w:tcPr>
          <w:p w14:paraId="0190FD2B">
            <w:pPr>
              <w:spacing w:line="360" w:lineRule="auto"/>
              <w:jc w:val="center"/>
              <w:rPr>
                <w:rFonts w:hint="eastAsia" w:ascii="宋体" w:hAnsi="宋体" w:eastAsia="宋体" w:cs="宋体"/>
                <w:sz w:val="24"/>
                <w:szCs w:val="24"/>
              </w:rPr>
            </w:pPr>
            <w:r>
              <w:rPr>
                <w:rFonts w:hint="eastAsia" w:ascii="宋体" w:hAnsi="宋体" w:eastAsia="宋体" w:cs="宋体"/>
                <w:sz w:val="24"/>
                <w:szCs w:val="24"/>
              </w:rPr>
              <w:t>8</w:t>
            </w:r>
          </w:p>
        </w:tc>
        <w:tc>
          <w:tcPr>
            <w:tcW w:w="4128" w:type="dxa"/>
            <w:tcBorders>
              <w:tl2br w:val="nil"/>
              <w:tr2bl w:val="nil"/>
            </w:tcBorders>
            <w:shd w:val="clear" w:color="auto" w:fill="auto"/>
            <w:vAlign w:val="center"/>
          </w:tcPr>
          <w:p w14:paraId="4A196BA9">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大学生情绪管理</w:t>
            </w:r>
          </w:p>
        </w:tc>
        <w:tc>
          <w:tcPr>
            <w:tcW w:w="1733" w:type="dxa"/>
            <w:tcBorders>
              <w:tl2br w:val="nil"/>
              <w:tr2bl w:val="nil"/>
            </w:tcBorders>
            <w:shd w:val="clear" w:color="auto" w:fill="auto"/>
            <w:vAlign w:val="center"/>
          </w:tcPr>
          <w:p w14:paraId="4D2A56FD">
            <w:pPr>
              <w:spacing w:line="360" w:lineRule="auto"/>
              <w:jc w:val="center"/>
              <w:rPr>
                <w:rFonts w:hint="eastAsia" w:ascii="宋体" w:hAnsi="宋体" w:eastAsia="宋体" w:cs="宋体"/>
                <w:b/>
                <w:sz w:val="24"/>
                <w:szCs w:val="24"/>
                <w:lang w:eastAsia="zh-CN"/>
              </w:rPr>
            </w:pPr>
            <w:r>
              <w:rPr>
                <w:rFonts w:hint="eastAsia" w:ascii="宋体" w:hAnsi="宋体" w:cs="宋体"/>
                <w:b/>
                <w:sz w:val="24"/>
                <w:szCs w:val="24"/>
                <w:lang w:val="en-US" w:eastAsia="zh-CN"/>
              </w:rPr>
              <w:t>4</w:t>
            </w:r>
          </w:p>
        </w:tc>
        <w:tc>
          <w:tcPr>
            <w:tcW w:w="1412" w:type="dxa"/>
            <w:tcBorders>
              <w:tl2br w:val="nil"/>
              <w:tr2bl w:val="nil"/>
            </w:tcBorders>
            <w:shd w:val="clear" w:color="auto" w:fill="auto"/>
            <w:vAlign w:val="center"/>
          </w:tcPr>
          <w:p w14:paraId="2FE338AC">
            <w:pPr>
              <w:spacing w:line="360" w:lineRule="auto"/>
              <w:ind w:firstLine="425"/>
              <w:jc w:val="center"/>
              <w:rPr>
                <w:rFonts w:hint="eastAsia" w:ascii="宋体" w:hAnsi="宋体" w:eastAsia="宋体" w:cs="宋体"/>
                <w:sz w:val="24"/>
                <w:szCs w:val="24"/>
              </w:rPr>
            </w:pPr>
          </w:p>
        </w:tc>
      </w:tr>
      <w:tr w14:paraId="0D3209A5">
        <w:trPr>
          <w:trHeight w:val="850" w:hRule="atLeast"/>
          <w:jc w:val="center"/>
        </w:trPr>
        <w:tc>
          <w:tcPr>
            <w:tcW w:w="954" w:type="dxa"/>
            <w:tcBorders>
              <w:tl2br w:val="nil"/>
              <w:tr2bl w:val="nil"/>
            </w:tcBorders>
            <w:shd w:val="clear" w:color="auto" w:fill="auto"/>
            <w:vAlign w:val="center"/>
          </w:tcPr>
          <w:p w14:paraId="3214818D">
            <w:pPr>
              <w:spacing w:line="360" w:lineRule="auto"/>
              <w:ind w:left="-1" w:leftChars="-8" w:hanging="16" w:hangingChars="7"/>
              <w:jc w:val="center"/>
              <w:rPr>
                <w:rFonts w:hint="eastAsia" w:ascii="宋体" w:hAnsi="宋体" w:eastAsia="宋体" w:cs="宋体"/>
                <w:sz w:val="24"/>
                <w:szCs w:val="24"/>
              </w:rPr>
            </w:pPr>
            <w:r>
              <w:rPr>
                <w:rFonts w:hint="eastAsia" w:ascii="宋体" w:hAnsi="宋体" w:eastAsia="宋体" w:cs="宋体"/>
                <w:sz w:val="24"/>
                <w:szCs w:val="24"/>
              </w:rPr>
              <w:t>9</w:t>
            </w:r>
          </w:p>
        </w:tc>
        <w:tc>
          <w:tcPr>
            <w:tcW w:w="4128" w:type="dxa"/>
            <w:tcBorders>
              <w:tl2br w:val="nil"/>
              <w:tr2bl w:val="nil"/>
            </w:tcBorders>
            <w:shd w:val="clear" w:color="auto" w:fill="auto"/>
            <w:vAlign w:val="center"/>
          </w:tcPr>
          <w:p w14:paraId="36ADBF18">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大学生人际交往</w:t>
            </w:r>
          </w:p>
        </w:tc>
        <w:tc>
          <w:tcPr>
            <w:tcW w:w="1733" w:type="dxa"/>
            <w:tcBorders>
              <w:tl2br w:val="nil"/>
              <w:tr2bl w:val="nil"/>
            </w:tcBorders>
            <w:shd w:val="clear" w:color="auto" w:fill="auto"/>
            <w:vAlign w:val="center"/>
          </w:tcPr>
          <w:p w14:paraId="0C1761E5">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466725D0">
            <w:pPr>
              <w:spacing w:line="360" w:lineRule="auto"/>
              <w:ind w:firstLine="425"/>
              <w:jc w:val="center"/>
              <w:rPr>
                <w:rFonts w:hint="eastAsia" w:ascii="宋体" w:hAnsi="宋体" w:eastAsia="宋体" w:cs="宋体"/>
                <w:sz w:val="24"/>
                <w:szCs w:val="24"/>
              </w:rPr>
            </w:pPr>
          </w:p>
        </w:tc>
      </w:tr>
      <w:tr w14:paraId="1AE3677E">
        <w:trPr>
          <w:trHeight w:val="850" w:hRule="atLeast"/>
          <w:jc w:val="center"/>
        </w:trPr>
        <w:tc>
          <w:tcPr>
            <w:tcW w:w="954" w:type="dxa"/>
            <w:tcBorders>
              <w:tl2br w:val="nil"/>
              <w:tr2bl w:val="nil"/>
            </w:tcBorders>
            <w:shd w:val="clear" w:color="auto" w:fill="auto"/>
            <w:vAlign w:val="center"/>
          </w:tcPr>
          <w:p w14:paraId="074480F3">
            <w:pPr>
              <w:spacing w:line="360" w:lineRule="auto"/>
              <w:ind w:left="-1" w:leftChars="-8" w:hanging="16" w:hangingChars="7"/>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w:t>
            </w:r>
          </w:p>
        </w:tc>
        <w:tc>
          <w:tcPr>
            <w:tcW w:w="4128" w:type="dxa"/>
            <w:tcBorders>
              <w:tl2br w:val="nil"/>
              <w:tr2bl w:val="nil"/>
            </w:tcBorders>
            <w:shd w:val="clear" w:color="auto" w:fill="auto"/>
            <w:vAlign w:val="center"/>
          </w:tcPr>
          <w:p w14:paraId="138A3667">
            <w:pPr>
              <w:spacing w:line="360" w:lineRule="auto"/>
              <w:ind w:firstLine="425"/>
              <w:jc w:val="center"/>
              <w:rPr>
                <w:rFonts w:hint="eastAsia" w:ascii="宋体" w:hAnsi="宋体" w:eastAsia="宋体" w:cs="宋体"/>
                <w:sz w:val="24"/>
                <w:szCs w:val="24"/>
              </w:rPr>
            </w:pPr>
            <w:r>
              <w:rPr>
                <w:rFonts w:hint="eastAsia" w:ascii="宋体" w:hAnsi="宋体" w:eastAsia="宋体" w:cs="宋体"/>
                <w:b/>
                <w:sz w:val="24"/>
                <w:szCs w:val="24"/>
              </w:rPr>
              <w:t>大学生恋爱与性心理</w:t>
            </w:r>
          </w:p>
        </w:tc>
        <w:tc>
          <w:tcPr>
            <w:tcW w:w="1733" w:type="dxa"/>
            <w:tcBorders>
              <w:tl2br w:val="nil"/>
              <w:tr2bl w:val="nil"/>
            </w:tcBorders>
            <w:shd w:val="clear" w:color="auto" w:fill="auto"/>
            <w:vAlign w:val="center"/>
          </w:tcPr>
          <w:p w14:paraId="4DE39E67">
            <w:pPr>
              <w:spacing w:line="360" w:lineRule="auto"/>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4</w:t>
            </w:r>
          </w:p>
        </w:tc>
        <w:tc>
          <w:tcPr>
            <w:tcW w:w="1412" w:type="dxa"/>
            <w:tcBorders>
              <w:tl2br w:val="nil"/>
              <w:tr2bl w:val="nil"/>
            </w:tcBorders>
            <w:shd w:val="clear" w:color="auto" w:fill="auto"/>
            <w:vAlign w:val="center"/>
          </w:tcPr>
          <w:p w14:paraId="56A06F91">
            <w:pPr>
              <w:spacing w:line="360" w:lineRule="auto"/>
              <w:ind w:firstLine="425"/>
              <w:jc w:val="center"/>
              <w:rPr>
                <w:rFonts w:hint="eastAsia" w:ascii="宋体" w:hAnsi="宋体" w:eastAsia="宋体" w:cs="宋体"/>
                <w:sz w:val="24"/>
                <w:szCs w:val="24"/>
              </w:rPr>
            </w:pPr>
          </w:p>
        </w:tc>
      </w:tr>
      <w:tr w14:paraId="6522634B">
        <w:trPr>
          <w:trHeight w:val="850" w:hRule="atLeast"/>
          <w:jc w:val="center"/>
        </w:trPr>
        <w:tc>
          <w:tcPr>
            <w:tcW w:w="954" w:type="dxa"/>
            <w:tcBorders>
              <w:tl2br w:val="nil"/>
              <w:tr2bl w:val="nil"/>
            </w:tcBorders>
            <w:shd w:val="clear" w:color="auto" w:fill="auto"/>
            <w:vAlign w:val="center"/>
          </w:tcPr>
          <w:p w14:paraId="0740B584">
            <w:pPr>
              <w:spacing w:line="360" w:lineRule="auto"/>
              <w:ind w:left="-1" w:leftChars="-8" w:hanging="16" w:hangingChars="7"/>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w:t>
            </w:r>
          </w:p>
        </w:tc>
        <w:tc>
          <w:tcPr>
            <w:tcW w:w="4128" w:type="dxa"/>
            <w:tcBorders>
              <w:tl2br w:val="nil"/>
              <w:tr2bl w:val="nil"/>
            </w:tcBorders>
            <w:shd w:val="clear" w:color="auto" w:fill="auto"/>
            <w:vAlign w:val="center"/>
          </w:tcPr>
          <w:p w14:paraId="70173F80">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大学生压力管理与挫折应对 </w:t>
            </w:r>
          </w:p>
        </w:tc>
        <w:tc>
          <w:tcPr>
            <w:tcW w:w="1733" w:type="dxa"/>
            <w:tcBorders>
              <w:tl2br w:val="nil"/>
              <w:tr2bl w:val="nil"/>
            </w:tcBorders>
            <w:shd w:val="clear" w:color="auto" w:fill="auto"/>
            <w:vAlign w:val="center"/>
          </w:tcPr>
          <w:p w14:paraId="51C1C214">
            <w:pPr>
              <w:spacing w:line="360" w:lineRule="auto"/>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1E756671">
            <w:pPr>
              <w:spacing w:line="360" w:lineRule="auto"/>
              <w:ind w:firstLine="425"/>
              <w:jc w:val="center"/>
              <w:rPr>
                <w:rFonts w:hint="eastAsia" w:ascii="宋体" w:hAnsi="宋体" w:eastAsia="宋体" w:cs="宋体"/>
                <w:sz w:val="24"/>
                <w:szCs w:val="24"/>
              </w:rPr>
            </w:pPr>
          </w:p>
        </w:tc>
      </w:tr>
      <w:tr w14:paraId="4624209C">
        <w:trPr>
          <w:trHeight w:val="850" w:hRule="atLeast"/>
          <w:jc w:val="center"/>
        </w:trPr>
        <w:tc>
          <w:tcPr>
            <w:tcW w:w="954" w:type="dxa"/>
            <w:tcBorders>
              <w:tl2br w:val="nil"/>
              <w:tr2bl w:val="nil"/>
            </w:tcBorders>
            <w:shd w:val="clear" w:color="auto" w:fill="auto"/>
            <w:vAlign w:val="center"/>
          </w:tcPr>
          <w:p w14:paraId="34454659">
            <w:pPr>
              <w:spacing w:line="360" w:lineRule="auto"/>
              <w:ind w:left="-1" w:leftChars="-8" w:hanging="16" w:hangingChars="7"/>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12</w:t>
            </w:r>
          </w:p>
        </w:tc>
        <w:tc>
          <w:tcPr>
            <w:tcW w:w="4128" w:type="dxa"/>
            <w:tcBorders>
              <w:tl2br w:val="nil"/>
              <w:tr2bl w:val="nil"/>
            </w:tcBorders>
            <w:shd w:val="clear" w:color="auto" w:fill="auto"/>
            <w:vAlign w:val="center"/>
          </w:tcPr>
          <w:p w14:paraId="4259644A">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大学生生命教育与心理危机应对</w:t>
            </w:r>
          </w:p>
        </w:tc>
        <w:tc>
          <w:tcPr>
            <w:tcW w:w="1733" w:type="dxa"/>
            <w:tcBorders>
              <w:tl2br w:val="nil"/>
              <w:tr2bl w:val="nil"/>
            </w:tcBorders>
            <w:shd w:val="clear" w:color="auto" w:fill="auto"/>
            <w:vAlign w:val="center"/>
          </w:tcPr>
          <w:p w14:paraId="1C8AAE1C">
            <w:pPr>
              <w:spacing w:line="360" w:lineRule="auto"/>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2</w:t>
            </w:r>
          </w:p>
        </w:tc>
        <w:tc>
          <w:tcPr>
            <w:tcW w:w="1412" w:type="dxa"/>
            <w:tcBorders>
              <w:tl2br w:val="nil"/>
              <w:tr2bl w:val="nil"/>
            </w:tcBorders>
            <w:shd w:val="clear" w:color="auto" w:fill="auto"/>
            <w:vAlign w:val="center"/>
          </w:tcPr>
          <w:p w14:paraId="45EE487E">
            <w:pPr>
              <w:spacing w:line="360" w:lineRule="auto"/>
              <w:ind w:firstLine="425"/>
              <w:jc w:val="center"/>
              <w:rPr>
                <w:rFonts w:hint="eastAsia" w:ascii="宋体" w:hAnsi="宋体" w:eastAsia="宋体" w:cs="宋体"/>
                <w:sz w:val="24"/>
                <w:szCs w:val="24"/>
              </w:rPr>
            </w:pPr>
          </w:p>
        </w:tc>
      </w:tr>
      <w:tr w14:paraId="203C291B">
        <w:trPr>
          <w:trHeight w:val="850" w:hRule="atLeast"/>
          <w:jc w:val="center"/>
        </w:trPr>
        <w:tc>
          <w:tcPr>
            <w:tcW w:w="954" w:type="dxa"/>
            <w:tcBorders>
              <w:tl2br w:val="nil"/>
              <w:tr2bl w:val="nil"/>
            </w:tcBorders>
            <w:shd w:val="clear" w:color="auto" w:fill="auto"/>
            <w:vAlign w:val="center"/>
          </w:tcPr>
          <w:p w14:paraId="4A74A93A">
            <w:pPr>
              <w:spacing w:line="360" w:lineRule="auto"/>
              <w:ind w:left="-1" w:leftChars="-8" w:hanging="16" w:hangingChars="7"/>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合计</w:t>
            </w:r>
          </w:p>
        </w:tc>
        <w:tc>
          <w:tcPr>
            <w:tcW w:w="4128" w:type="dxa"/>
            <w:tcBorders>
              <w:tl2br w:val="nil"/>
              <w:tr2bl w:val="nil"/>
            </w:tcBorders>
            <w:shd w:val="clear" w:color="auto" w:fill="auto"/>
            <w:vAlign w:val="center"/>
          </w:tcPr>
          <w:p w14:paraId="469206D4">
            <w:pPr>
              <w:spacing w:line="360" w:lineRule="auto"/>
              <w:ind w:firstLine="425"/>
              <w:jc w:val="center"/>
              <w:rPr>
                <w:rFonts w:hint="eastAsia" w:ascii="宋体" w:hAnsi="宋体" w:eastAsia="宋体" w:cs="宋体"/>
                <w:sz w:val="24"/>
                <w:szCs w:val="24"/>
              </w:rPr>
            </w:pPr>
          </w:p>
        </w:tc>
        <w:tc>
          <w:tcPr>
            <w:tcW w:w="1733" w:type="dxa"/>
            <w:tcBorders>
              <w:tl2br w:val="nil"/>
              <w:tr2bl w:val="nil"/>
            </w:tcBorders>
            <w:shd w:val="clear" w:color="auto" w:fill="auto"/>
            <w:vAlign w:val="center"/>
          </w:tcPr>
          <w:p w14:paraId="7ABFB986">
            <w:pPr>
              <w:spacing w:line="360" w:lineRule="auto"/>
              <w:jc w:val="center"/>
              <w:rPr>
                <w:rFonts w:hint="default" w:ascii="宋体" w:hAnsi="宋体" w:eastAsia="宋体" w:cs="宋体"/>
                <w:b/>
                <w:sz w:val="24"/>
                <w:szCs w:val="24"/>
                <w:lang w:val="en-US" w:eastAsia="zh-CN"/>
              </w:rPr>
            </w:pPr>
            <w:r>
              <w:rPr>
                <w:rFonts w:hint="eastAsia" w:ascii="宋体" w:hAnsi="宋体" w:cs="宋体"/>
                <w:b/>
                <w:sz w:val="24"/>
                <w:szCs w:val="24"/>
                <w:lang w:val="en-US" w:eastAsia="zh-CN"/>
              </w:rPr>
              <w:t>36</w:t>
            </w:r>
          </w:p>
        </w:tc>
        <w:tc>
          <w:tcPr>
            <w:tcW w:w="1412" w:type="dxa"/>
            <w:tcBorders>
              <w:tl2br w:val="nil"/>
              <w:tr2bl w:val="nil"/>
            </w:tcBorders>
            <w:shd w:val="clear" w:color="auto" w:fill="auto"/>
            <w:vAlign w:val="center"/>
          </w:tcPr>
          <w:p w14:paraId="0E8AF763">
            <w:pPr>
              <w:spacing w:line="360" w:lineRule="auto"/>
              <w:ind w:firstLine="425"/>
              <w:jc w:val="center"/>
              <w:rPr>
                <w:rFonts w:hint="eastAsia" w:ascii="宋体" w:hAnsi="宋体" w:eastAsia="宋体" w:cs="宋体"/>
                <w:sz w:val="24"/>
                <w:szCs w:val="24"/>
              </w:rPr>
            </w:pPr>
          </w:p>
        </w:tc>
      </w:tr>
    </w:tbl>
    <w:p w14:paraId="71DE9FC9">
      <w:pPr>
        <w:rPr>
          <w:rFonts w:ascii="华文琥珀" w:hAnsi="Times New Roman" w:eastAsia="华文琥珀"/>
          <w:b/>
          <w:bCs/>
          <w:kern w:val="44"/>
          <w:szCs w:val="21"/>
        </w:rPr>
      </w:pPr>
    </w:p>
    <w:p w14:paraId="5557A290">
      <w:pPr>
        <w:rPr>
          <w:rFonts w:hint="eastAsia"/>
          <w:kern w:val="0"/>
          <w:sz w:val="20"/>
          <w:szCs w:val="20"/>
        </w:rPr>
      </w:pPr>
    </w:p>
    <w:p w14:paraId="3F66BD18">
      <w:pPr>
        <w:rPr>
          <w:rFonts w:hint="eastAsia"/>
          <w:kern w:val="0"/>
          <w:sz w:val="20"/>
          <w:szCs w:val="20"/>
        </w:rPr>
      </w:pPr>
      <w:r>
        <w:rPr>
          <w:rFonts w:hint="eastAsia"/>
          <w:kern w:val="0"/>
          <w:sz w:val="20"/>
          <w:szCs w:val="20"/>
        </w:rPr>
        <w:br w:type="page"/>
      </w:r>
    </w:p>
    <w:tbl>
      <w:tblPr>
        <w:tblStyle w:val="7"/>
        <w:tblW w:w="10205" w:type="dxa"/>
        <w:jc w:val="center"/>
        <w:tblBorders>
          <w:top w:val="double" w:color="3A5E20" w:themeColor="accent4" w:themeShade="7F" w:sz="4" w:space="0"/>
          <w:left w:val="double" w:color="3A5E20" w:themeColor="accent4" w:themeShade="7F" w:sz="4" w:space="0"/>
          <w:bottom w:val="double" w:color="3A5E20" w:themeColor="accent4" w:themeShade="7F" w:sz="4" w:space="0"/>
          <w:right w:val="double" w:color="3A5E20" w:themeColor="accent4" w:themeShade="7F" w:sz="4" w:space="0"/>
          <w:insideH w:val="single" w:color="3A5E20" w:themeColor="accent4" w:themeShade="7F" w:sz="4" w:space="0"/>
          <w:insideV w:val="single" w:color="3A5E20" w:themeColor="accent4" w:themeShade="7F" w:sz="4" w:space="0"/>
        </w:tblBorders>
        <w:tblLayout w:type="autofit"/>
        <w:tblCellMar>
          <w:top w:w="0" w:type="dxa"/>
          <w:left w:w="108" w:type="dxa"/>
          <w:bottom w:w="0" w:type="dxa"/>
          <w:right w:w="108" w:type="dxa"/>
        </w:tblCellMar>
      </w:tblPr>
      <w:tblGrid>
        <w:gridCol w:w="734"/>
        <w:gridCol w:w="1342"/>
        <w:gridCol w:w="4006"/>
        <w:gridCol w:w="4123"/>
      </w:tblGrid>
      <w:tr w14:paraId="2A5F8710">
        <w:trPr>
          <w:trHeight w:val="567" w:hRule="atLeast"/>
          <w:jc w:val="center"/>
        </w:trPr>
        <w:tc>
          <w:tcPr>
            <w:tcW w:w="694" w:type="dxa"/>
            <w:tcBorders>
              <w:tl2br w:val="nil"/>
              <w:tr2bl w:val="nil"/>
            </w:tcBorders>
            <w:shd w:val="clear" w:color="auto" w:fill="C7E4B3" w:themeFill="accent4" w:themeFillTint="66"/>
            <w:vAlign w:val="center"/>
          </w:tcPr>
          <w:p w14:paraId="7A806713">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color w:val="843F0B" w:themeColor="accent2" w:themeShade="80"/>
                <w:kern w:val="0"/>
                <w:sz w:val="21"/>
                <w:szCs w:val="21"/>
              </w:rPr>
            </w:pPr>
            <w:r>
              <w:rPr>
                <w:rFonts w:hint="eastAsia" w:ascii="黑体" w:hAnsi="黑体" w:eastAsia="黑体" w:cs="黑体"/>
                <w:b/>
                <w:bCs/>
                <w:color w:val="843F0B" w:themeColor="accent2" w:themeShade="80"/>
                <w:kern w:val="0"/>
                <w:sz w:val="21"/>
                <w:szCs w:val="21"/>
              </w:rPr>
              <w:t>序号</w:t>
            </w:r>
          </w:p>
        </w:tc>
        <w:tc>
          <w:tcPr>
            <w:tcW w:w="1267" w:type="dxa"/>
            <w:tcBorders>
              <w:tl2br w:val="nil"/>
              <w:tr2bl w:val="nil"/>
            </w:tcBorders>
            <w:shd w:val="clear" w:color="auto" w:fill="C7E4B3" w:themeFill="accent4" w:themeFillTint="66"/>
            <w:vAlign w:val="center"/>
          </w:tcPr>
          <w:p w14:paraId="5054FE00">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color w:val="843F0B" w:themeColor="accent2" w:themeShade="80"/>
                <w:kern w:val="0"/>
                <w:sz w:val="21"/>
                <w:szCs w:val="21"/>
              </w:rPr>
            </w:pPr>
            <w:r>
              <w:rPr>
                <w:rFonts w:hint="eastAsia" w:ascii="黑体" w:hAnsi="黑体" w:eastAsia="黑体" w:cs="黑体"/>
                <w:b/>
                <w:bCs/>
                <w:color w:val="843F0B" w:themeColor="accent2" w:themeShade="80"/>
                <w:kern w:val="0"/>
                <w:sz w:val="21"/>
                <w:szCs w:val="21"/>
              </w:rPr>
              <w:t>课题</w:t>
            </w:r>
          </w:p>
        </w:tc>
        <w:tc>
          <w:tcPr>
            <w:tcW w:w="3783" w:type="dxa"/>
            <w:tcBorders>
              <w:tl2br w:val="nil"/>
              <w:tr2bl w:val="nil"/>
            </w:tcBorders>
            <w:shd w:val="clear" w:color="auto" w:fill="C7E4B3" w:themeFill="accent4" w:themeFillTint="66"/>
            <w:vAlign w:val="center"/>
          </w:tcPr>
          <w:p w14:paraId="4CD5F08D">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color w:val="843F0B" w:themeColor="accent2" w:themeShade="80"/>
                <w:kern w:val="0"/>
                <w:sz w:val="21"/>
                <w:szCs w:val="21"/>
              </w:rPr>
            </w:pPr>
            <w:r>
              <w:rPr>
                <w:rFonts w:hint="eastAsia" w:ascii="黑体" w:hAnsi="黑体" w:eastAsia="黑体" w:cs="黑体"/>
                <w:b/>
                <w:bCs/>
                <w:color w:val="843F0B" w:themeColor="accent2" w:themeShade="80"/>
                <w:kern w:val="0"/>
                <w:sz w:val="21"/>
                <w:szCs w:val="21"/>
              </w:rPr>
              <w:t>知识要求</w:t>
            </w:r>
          </w:p>
        </w:tc>
        <w:tc>
          <w:tcPr>
            <w:tcW w:w="3894" w:type="dxa"/>
            <w:tcBorders>
              <w:tl2br w:val="nil"/>
              <w:tr2bl w:val="nil"/>
            </w:tcBorders>
            <w:shd w:val="clear" w:color="auto" w:fill="C7E4B3" w:themeFill="accent4" w:themeFillTint="66"/>
            <w:vAlign w:val="center"/>
          </w:tcPr>
          <w:p w14:paraId="0E11FD24">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color w:val="843F0B" w:themeColor="accent2" w:themeShade="80"/>
                <w:kern w:val="0"/>
                <w:sz w:val="21"/>
                <w:szCs w:val="21"/>
              </w:rPr>
            </w:pPr>
            <w:r>
              <w:rPr>
                <w:rFonts w:hint="eastAsia" w:ascii="黑体" w:hAnsi="黑体" w:eastAsia="黑体" w:cs="黑体"/>
                <w:b/>
                <w:bCs/>
                <w:color w:val="843F0B" w:themeColor="accent2" w:themeShade="80"/>
                <w:kern w:val="0"/>
                <w:sz w:val="21"/>
                <w:szCs w:val="21"/>
              </w:rPr>
              <w:t>技能要求</w:t>
            </w:r>
          </w:p>
        </w:tc>
      </w:tr>
      <w:tr w14:paraId="63125E26">
        <w:trPr>
          <w:trHeight w:val="567" w:hRule="atLeast"/>
          <w:jc w:val="center"/>
        </w:trPr>
        <w:tc>
          <w:tcPr>
            <w:tcW w:w="694" w:type="dxa"/>
            <w:tcBorders>
              <w:tl2br w:val="nil"/>
              <w:tr2bl w:val="nil"/>
            </w:tcBorders>
            <w:vAlign w:val="center"/>
          </w:tcPr>
          <w:p w14:paraId="6AABDE50">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1</w:t>
            </w:r>
          </w:p>
        </w:tc>
        <w:tc>
          <w:tcPr>
            <w:tcW w:w="1267" w:type="dxa"/>
            <w:tcBorders>
              <w:tl2br w:val="nil"/>
              <w:tr2bl w:val="nil"/>
            </w:tcBorders>
            <w:vAlign w:val="center"/>
          </w:tcPr>
          <w:p w14:paraId="26ADE67B">
            <w:pPr>
              <w:keepNext w:val="0"/>
              <w:keepLines w:val="0"/>
              <w:pageBreakBefore w:val="0"/>
              <w:widowControl w:val="0"/>
              <w:kinsoku/>
              <w:wordWrap/>
              <w:overflowPunct/>
              <w:topLinePunct w:val="0"/>
              <w:autoSpaceDE/>
              <w:autoSpaceDN/>
              <w:bidi w:val="0"/>
              <w:adjustRightInd/>
              <w:snapToGrid/>
              <w:spacing w:line="288" w:lineRule="auto"/>
              <w:ind w:left="0" w:leftChars="0"/>
              <w:jc w:val="left"/>
              <w:textAlignment w:val="auto"/>
              <w:rPr>
                <w:rFonts w:ascii="宋体" w:hAnsi="宋体" w:cs="宋体"/>
                <w:color w:val="000000"/>
                <w:kern w:val="0"/>
                <w:sz w:val="21"/>
                <w:szCs w:val="21"/>
              </w:rPr>
            </w:pPr>
            <w:r>
              <w:rPr>
                <w:rFonts w:hint="eastAsia"/>
              </w:rPr>
              <w:t>大学生心理健康导论</w:t>
            </w:r>
            <w:r>
              <w:rPr>
                <w:rFonts w:hint="eastAsia" w:ascii="宋体" w:hAnsi="宋体" w:cs="宋体"/>
                <w:kern w:val="0"/>
                <w:sz w:val="21"/>
                <w:szCs w:val="21"/>
              </w:rPr>
              <w:t> </w:t>
            </w:r>
          </w:p>
        </w:tc>
        <w:tc>
          <w:tcPr>
            <w:tcW w:w="3783" w:type="dxa"/>
            <w:tcBorders>
              <w:tl2br w:val="nil"/>
              <w:tr2bl w:val="nil"/>
            </w:tcBorders>
            <w:vAlign w:val="center"/>
          </w:tcPr>
          <w:p w14:paraId="2FEF080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了解心理活动的表现形式。 </w:t>
            </w:r>
          </w:p>
          <w:p w14:paraId="319864F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明确心理健康的标准和意义。</w:t>
            </w:r>
          </w:p>
        </w:tc>
        <w:tc>
          <w:tcPr>
            <w:tcW w:w="3894" w:type="dxa"/>
            <w:tcBorders>
              <w:tl2br w:val="nil"/>
              <w:tr2bl w:val="nil"/>
            </w:tcBorders>
            <w:vAlign w:val="center"/>
          </w:tcPr>
          <w:p w14:paraId="00F27EC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能够对自身心理健康状况进行正确、客观的认知和评价。</w:t>
            </w:r>
          </w:p>
          <w:p w14:paraId="68A186CF">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掌握探索自我心理现象的技能，发展心理调适技能及心理发展技能。</w:t>
            </w:r>
          </w:p>
        </w:tc>
      </w:tr>
      <w:tr w14:paraId="7D39C495">
        <w:trPr>
          <w:trHeight w:val="567" w:hRule="atLeast"/>
          <w:jc w:val="center"/>
        </w:trPr>
        <w:tc>
          <w:tcPr>
            <w:tcW w:w="694" w:type="dxa"/>
            <w:tcBorders>
              <w:tl2br w:val="nil"/>
              <w:tr2bl w:val="nil"/>
            </w:tcBorders>
            <w:vAlign w:val="center"/>
          </w:tcPr>
          <w:p w14:paraId="1CDED5D3">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2</w:t>
            </w:r>
          </w:p>
        </w:tc>
        <w:tc>
          <w:tcPr>
            <w:tcW w:w="1267" w:type="dxa"/>
            <w:tcBorders>
              <w:tl2br w:val="nil"/>
              <w:tr2bl w:val="nil"/>
            </w:tcBorders>
            <w:vAlign w:val="center"/>
          </w:tcPr>
          <w:p w14:paraId="65329BA2">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color w:val="000000"/>
                <w:kern w:val="0"/>
                <w:sz w:val="21"/>
                <w:szCs w:val="21"/>
              </w:rPr>
            </w:pPr>
            <w:r>
              <w:rPr>
                <w:rFonts w:hint="eastAsia" w:ascii="宋体" w:hAnsi="宋体" w:cs="宋体"/>
                <w:kern w:val="0"/>
                <w:sz w:val="21"/>
                <w:szCs w:val="21"/>
              </w:rPr>
              <w:t>大学生心理咨询与心理治疗</w:t>
            </w:r>
          </w:p>
        </w:tc>
        <w:tc>
          <w:tcPr>
            <w:tcW w:w="3783" w:type="dxa"/>
            <w:tcBorders>
              <w:tl2br w:val="nil"/>
              <w:tr2bl w:val="nil"/>
            </w:tcBorders>
            <w:vAlign w:val="center"/>
          </w:tcPr>
          <w:p w14:paraId="71D74401">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了解高校心理咨询、心理治疗的性质、方法。</w:t>
            </w:r>
          </w:p>
          <w:p w14:paraId="39CE162B">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熟悉高校心理咨询的内容。</w:t>
            </w:r>
          </w:p>
        </w:tc>
        <w:tc>
          <w:tcPr>
            <w:tcW w:w="3894" w:type="dxa"/>
            <w:tcBorders>
              <w:tl2br w:val="nil"/>
              <w:tr2bl w:val="nil"/>
            </w:tcBorders>
            <w:vAlign w:val="center"/>
          </w:tcPr>
          <w:p w14:paraId="61A8C7CC">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熟练应用焦虑自评量表 SAS，并能根据测试结果了解自身焦虑程度。</w:t>
            </w:r>
          </w:p>
        </w:tc>
      </w:tr>
      <w:tr w14:paraId="1186562C">
        <w:trPr>
          <w:trHeight w:val="567" w:hRule="atLeast"/>
          <w:jc w:val="center"/>
        </w:trPr>
        <w:tc>
          <w:tcPr>
            <w:tcW w:w="694" w:type="dxa"/>
            <w:tcBorders>
              <w:tl2br w:val="nil"/>
              <w:tr2bl w:val="nil"/>
            </w:tcBorders>
            <w:vAlign w:val="center"/>
          </w:tcPr>
          <w:p w14:paraId="52605105">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3</w:t>
            </w:r>
          </w:p>
        </w:tc>
        <w:tc>
          <w:tcPr>
            <w:tcW w:w="1267" w:type="dxa"/>
            <w:tcBorders>
              <w:tl2br w:val="nil"/>
              <w:tr2bl w:val="nil"/>
            </w:tcBorders>
            <w:vAlign w:val="center"/>
          </w:tcPr>
          <w:p w14:paraId="1CC74B14">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color w:val="000000"/>
                <w:kern w:val="0"/>
                <w:sz w:val="21"/>
                <w:szCs w:val="21"/>
              </w:rPr>
            </w:pPr>
            <w:r>
              <w:rPr>
                <w:rFonts w:hint="eastAsia" w:ascii="宋体" w:hAnsi="宋体" w:cs="宋体"/>
                <w:kern w:val="0"/>
                <w:sz w:val="21"/>
                <w:szCs w:val="21"/>
              </w:rPr>
              <w:t>大学生常见心理困惑与异常心理</w:t>
            </w:r>
          </w:p>
        </w:tc>
        <w:tc>
          <w:tcPr>
            <w:tcW w:w="3783" w:type="dxa"/>
            <w:tcBorders>
              <w:tl2br w:val="nil"/>
              <w:tr2bl w:val="nil"/>
            </w:tcBorders>
            <w:vAlign w:val="center"/>
          </w:tcPr>
          <w:p w14:paraId="60927507">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了解大学生常见心理困惑和心理障碍的分类（CCMD-3）。</w:t>
            </w:r>
          </w:p>
          <w:p w14:paraId="1D33A4E8">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掌握神经症的概念和共同特征</w:t>
            </w:r>
            <w:r>
              <w:rPr>
                <w:rFonts w:hint="eastAsia" w:ascii="宋体" w:hAnsi="宋体" w:cs="宋体"/>
                <w:kern w:val="0"/>
                <w:sz w:val="21"/>
                <w:szCs w:val="21"/>
                <w:lang w:eastAsia="zh-CN"/>
              </w:rPr>
              <w:t>。</w:t>
            </w:r>
          </w:p>
        </w:tc>
        <w:tc>
          <w:tcPr>
            <w:tcW w:w="3894" w:type="dxa"/>
            <w:tcBorders>
              <w:tl2br w:val="nil"/>
              <w:tr2bl w:val="nil"/>
            </w:tcBorders>
            <w:vAlign w:val="center"/>
          </w:tcPr>
          <w:p w14:paraId="79DBB39F">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具备识别神经症、抑郁症、精神分裂症、应激相关障碍、人格障碍的能力。</w:t>
            </w:r>
          </w:p>
          <w:p w14:paraId="16FB9392">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ascii="宋体" w:hAnsi="宋体" w:cs="宋体"/>
                <w:kern w:val="0"/>
                <w:sz w:val="21"/>
                <w:szCs w:val="21"/>
              </w:rPr>
            </w:pPr>
          </w:p>
        </w:tc>
      </w:tr>
      <w:tr w14:paraId="6B7F360B">
        <w:trPr>
          <w:trHeight w:val="567" w:hRule="atLeast"/>
          <w:jc w:val="center"/>
        </w:trPr>
        <w:tc>
          <w:tcPr>
            <w:tcW w:w="694" w:type="dxa"/>
            <w:tcBorders>
              <w:tl2br w:val="nil"/>
              <w:tr2bl w:val="nil"/>
            </w:tcBorders>
            <w:vAlign w:val="center"/>
          </w:tcPr>
          <w:p w14:paraId="5E62866C">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4</w:t>
            </w:r>
          </w:p>
        </w:tc>
        <w:tc>
          <w:tcPr>
            <w:tcW w:w="1267" w:type="dxa"/>
            <w:tcBorders>
              <w:tl2br w:val="nil"/>
              <w:tr2bl w:val="nil"/>
            </w:tcBorders>
            <w:vAlign w:val="center"/>
          </w:tcPr>
          <w:p w14:paraId="120B6FC7">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color w:val="000000"/>
                <w:kern w:val="0"/>
                <w:sz w:val="21"/>
                <w:szCs w:val="21"/>
              </w:rPr>
            </w:pPr>
            <w:r>
              <w:rPr>
                <w:rFonts w:hint="eastAsia" w:ascii="宋体" w:hAnsi="宋体" w:cs="宋体"/>
                <w:kern w:val="0"/>
                <w:sz w:val="21"/>
                <w:szCs w:val="21"/>
              </w:rPr>
              <w:t>大学生自我意识与培养</w:t>
            </w:r>
          </w:p>
        </w:tc>
        <w:tc>
          <w:tcPr>
            <w:tcW w:w="3783" w:type="dxa"/>
            <w:tcBorders>
              <w:tl2br w:val="nil"/>
              <w:tr2bl w:val="nil"/>
            </w:tcBorders>
            <w:vAlign w:val="center"/>
          </w:tcPr>
          <w:p w14:paraId="13DB036F">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理解自我意识的内涵和结构。</w:t>
            </w:r>
          </w:p>
          <w:p w14:paraId="04F01A64">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明晰自我意识中常见的问题。</w:t>
            </w:r>
          </w:p>
        </w:tc>
        <w:tc>
          <w:tcPr>
            <w:tcW w:w="3894" w:type="dxa"/>
            <w:tcBorders>
              <w:tl2br w:val="nil"/>
              <w:tr2bl w:val="nil"/>
            </w:tcBorders>
            <w:vAlign w:val="center"/>
          </w:tcPr>
          <w:p w14:paraId="19BD18CA">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敢于表达自我，明晰自我形象。</w:t>
            </w:r>
          </w:p>
          <w:p w14:paraId="19D100B8">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懂得扬长避短，学会悦纳自我。</w:t>
            </w:r>
          </w:p>
        </w:tc>
      </w:tr>
      <w:tr w14:paraId="61BE1EC7">
        <w:trPr>
          <w:trHeight w:val="567" w:hRule="atLeast"/>
          <w:jc w:val="center"/>
        </w:trPr>
        <w:tc>
          <w:tcPr>
            <w:tcW w:w="694" w:type="dxa"/>
            <w:tcBorders>
              <w:tl2br w:val="nil"/>
              <w:tr2bl w:val="nil"/>
            </w:tcBorders>
            <w:vAlign w:val="center"/>
          </w:tcPr>
          <w:p w14:paraId="680C47A4">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5</w:t>
            </w:r>
          </w:p>
        </w:tc>
        <w:tc>
          <w:tcPr>
            <w:tcW w:w="1267" w:type="dxa"/>
            <w:tcBorders>
              <w:tl2br w:val="nil"/>
              <w:tr2bl w:val="nil"/>
            </w:tcBorders>
            <w:vAlign w:val="center"/>
          </w:tcPr>
          <w:p w14:paraId="4341EA2E">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kern w:val="0"/>
                <w:sz w:val="21"/>
                <w:szCs w:val="21"/>
              </w:rPr>
            </w:pPr>
            <w:r>
              <w:rPr>
                <w:rFonts w:hint="eastAsia" w:ascii="宋体" w:hAnsi="宋体" w:cs="宋体"/>
                <w:kern w:val="0"/>
                <w:sz w:val="21"/>
                <w:szCs w:val="21"/>
              </w:rPr>
              <w:t>大学生人格发展与培养</w:t>
            </w:r>
          </w:p>
        </w:tc>
        <w:tc>
          <w:tcPr>
            <w:tcW w:w="3783" w:type="dxa"/>
            <w:tcBorders>
              <w:tl2br w:val="nil"/>
              <w:tr2bl w:val="nil"/>
            </w:tcBorders>
            <w:vAlign w:val="center"/>
          </w:tcPr>
          <w:p w14:paraId="4D302AD3">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了解塑造健康人格的途径和方法。</w:t>
            </w:r>
          </w:p>
          <w:p w14:paraId="070D014B">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eastAsia="宋体" w:cs="宋体"/>
                <w:spacing w:val="20"/>
                <w:kern w:val="0"/>
                <w:sz w:val="21"/>
                <w:szCs w:val="21"/>
              </w:rPr>
              <w:t>熟悉大学生常见人格偏差特征及调适。</w:t>
            </w:r>
          </w:p>
        </w:tc>
        <w:tc>
          <w:tcPr>
            <w:tcW w:w="3894" w:type="dxa"/>
            <w:tcBorders>
              <w:tl2br w:val="nil"/>
              <w:tr2bl w:val="nil"/>
            </w:tcBorders>
            <w:vAlign w:val="center"/>
          </w:tcPr>
          <w:p w14:paraId="4C11A60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eastAsia="宋体" w:cs="宋体"/>
                <w:spacing w:val="20"/>
                <w:kern w:val="0"/>
                <w:sz w:val="21"/>
                <w:szCs w:val="21"/>
              </w:rPr>
            </w:pPr>
            <w:r>
              <w:rPr>
                <w:rFonts w:hint="eastAsia" w:ascii="宋体" w:hAnsi="宋体" w:eastAsia="宋体" w:cs="宋体"/>
                <w:spacing w:val="20"/>
                <w:kern w:val="0"/>
                <w:sz w:val="21"/>
                <w:szCs w:val="21"/>
              </w:rPr>
              <w:t>学会觉察大学生常见的人格发展缺陷。</w:t>
            </w:r>
          </w:p>
          <w:p w14:paraId="4E21BD7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掌握大学生人格完善的途径与方法。</w:t>
            </w:r>
          </w:p>
        </w:tc>
      </w:tr>
      <w:tr w14:paraId="143FBF61">
        <w:trPr>
          <w:trHeight w:val="567" w:hRule="atLeast"/>
          <w:jc w:val="center"/>
        </w:trPr>
        <w:tc>
          <w:tcPr>
            <w:tcW w:w="694" w:type="dxa"/>
            <w:tcBorders>
              <w:tl2br w:val="nil"/>
              <w:tr2bl w:val="nil"/>
            </w:tcBorders>
            <w:vAlign w:val="center"/>
          </w:tcPr>
          <w:p w14:paraId="0449F770">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6</w:t>
            </w:r>
          </w:p>
        </w:tc>
        <w:tc>
          <w:tcPr>
            <w:tcW w:w="1267" w:type="dxa"/>
            <w:tcBorders>
              <w:tl2br w:val="nil"/>
              <w:tr2bl w:val="nil"/>
            </w:tcBorders>
            <w:vAlign w:val="center"/>
          </w:tcPr>
          <w:p w14:paraId="11C2617C">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kern w:val="0"/>
                <w:sz w:val="21"/>
                <w:szCs w:val="21"/>
              </w:rPr>
            </w:pPr>
            <w:r>
              <w:rPr>
                <w:rFonts w:hint="eastAsia" w:ascii="宋体" w:hAnsi="宋体" w:cs="宋体"/>
                <w:kern w:val="0"/>
                <w:sz w:val="21"/>
                <w:szCs w:val="21"/>
              </w:rPr>
              <w:t>大学生职业生涯规划与择业心理</w:t>
            </w:r>
          </w:p>
        </w:tc>
        <w:tc>
          <w:tcPr>
            <w:tcW w:w="3783" w:type="dxa"/>
            <w:tcBorders>
              <w:tl2br w:val="nil"/>
              <w:tr2bl w:val="nil"/>
            </w:tcBorders>
            <w:vAlign w:val="center"/>
          </w:tcPr>
          <w:p w14:paraId="0FA19D1C">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学会并积极给自己的职业生涯做出最优的规划，学会如何去应对职场中可能出现的事件。</w:t>
            </w:r>
          </w:p>
        </w:tc>
        <w:tc>
          <w:tcPr>
            <w:tcW w:w="3894" w:type="dxa"/>
            <w:tcBorders>
              <w:tl2br w:val="nil"/>
              <w:tr2bl w:val="nil"/>
            </w:tcBorders>
            <w:vAlign w:val="center"/>
          </w:tcPr>
          <w:p w14:paraId="064E8E6E">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从自我认知层面上找出自身的优势与劣势，不断提升自身能力，提高适应社会职场的能力。</w:t>
            </w:r>
          </w:p>
        </w:tc>
      </w:tr>
      <w:tr w14:paraId="170B53CF">
        <w:trPr>
          <w:trHeight w:val="567" w:hRule="atLeast"/>
          <w:jc w:val="center"/>
        </w:trPr>
        <w:tc>
          <w:tcPr>
            <w:tcW w:w="694" w:type="dxa"/>
            <w:tcBorders>
              <w:tl2br w:val="nil"/>
              <w:tr2bl w:val="nil"/>
            </w:tcBorders>
            <w:vAlign w:val="center"/>
          </w:tcPr>
          <w:p w14:paraId="134B8340">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7</w:t>
            </w:r>
          </w:p>
        </w:tc>
        <w:tc>
          <w:tcPr>
            <w:tcW w:w="1267" w:type="dxa"/>
            <w:tcBorders>
              <w:tl2br w:val="nil"/>
              <w:tr2bl w:val="nil"/>
            </w:tcBorders>
            <w:vAlign w:val="center"/>
          </w:tcPr>
          <w:p w14:paraId="09468FF3">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ascii="宋体" w:hAnsi="宋体" w:cs="宋体"/>
                <w:kern w:val="0"/>
                <w:sz w:val="21"/>
                <w:szCs w:val="21"/>
              </w:rPr>
            </w:pPr>
            <w:r>
              <w:rPr>
                <w:rFonts w:hint="eastAsia" w:ascii="宋体" w:hAnsi="宋体" w:cs="宋体"/>
                <w:kern w:val="0"/>
                <w:sz w:val="21"/>
                <w:szCs w:val="21"/>
              </w:rPr>
              <w:t>大学生学习心理与创造性思维培养</w:t>
            </w:r>
          </w:p>
        </w:tc>
        <w:tc>
          <w:tcPr>
            <w:tcW w:w="3783" w:type="dxa"/>
            <w:tcBorders>
              <w:tl2br w:val="nil"/>
              <w:tr2bl w:val="nil"/>
            </w:tcBorders>
            <w:vAlign w:val="center"/>
          </w:tcPr>
          <w:p w14:paraId="142C3F0A">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了解大学生学习特点。</w:t>
            </w:r>
          </w:p>
          <w:p w14:paraId="7D54A231">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了解影响学习的非智力因素。</w:t>
            </w:r>
          </w:p>
          <w:p w14:paraId="7E8A0BEA">
            <w:pPr>
              <w:keepNext w:val="0"/>
              <w:keepLines w:val="0"/>
              <w:pageBreakBefore w:val="0"/>
              <w:widowControl w:val="0"/>
              <w:numPr>
                <w:ilvl w:val="0"/>
                <w:numId w:val="0"/>
              </w:numPr>
              <w:tabs>
                <w:tab w:val="left" w:pos="252"/>
              </w:tabs>
              <w:kinsoku/>
              <w:wordWrap/>
              <w:overflowPunct/>
              <w:topLinePunct w:val="0"/>
              <w:autoSpaceDE/>
              <w:autoSpaceDN/>
              <w:bidi w:val="0"/>
              <w:adjustRightInd/>
              <w:snapToGrid/>
              <w:spacing w:line="288" w:lineRule="auto"/>
              <w:ind w:left="0" w:leftChars="0"/>
              <w:textAlignment w:val="auto"/>
              <w:rPr>
                <w:rFonts w:ascii="宋体" w:hAnsi="宋体" w:cs="宋体"/>
                <w:color w:val="333333"/>
                <w:kern w:val="0"/>
                <w:sz w:val="21"/>
                <w:szCs w:val="21"/>
              </w:rPr>
            </w:pPr>
          </w:p>
        </w:tc>
        <w:tc>
          <w:tcPr>
            <w:tcW w:w="3894" w:type="dxa"/>
            <w:tcBorders>
              <w:tl2br w:val="nil"/>
              <w:tr2bl w:val="nil"/>
            </w:tcBorders>
            <w:vAlign w:val="center"/>
          </w:tcPr>
          <w:p w14:paraId="74ADD197">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eastAsia="宋体" w:cs="宋体"/>
                <w:spacing w:val="20"/>
                <w:kern w:val="0"/>
                <w:sz w:val="21"/>
                <w:szCs w:val="21"/>
              </w:rPr>
              <w:t>掌握出现学习心理障碍时的调适方法。</w:t>
            </w:r>
          </w:p>
        </w:tc>
      </w:tr>
      <w:tr w14:paraId="4B0443AA">
        <w:trPr>
          <w:trHeight w:val="567" w:hRule="atLeast"/>
          <w:jc w:val="center"/>
        </w:trPr>
        <w:tc>
          <w:tcPr>
            <w:tcW w:w="694" w:type="dxa"/>
            <w:tcBorders>
              <w:tl2br w:val="nil"/>
              <w:tr2bl w:val="nil"/>
            </w:tcBorders>
            <w:vAlign w:val="center"/>
          </w:tcPr>
          <w:p w14:paraId="7E14898B">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8</w:t>
            </w:r>
          </w:p>
        </w:tc>
        <w:tc>
          <w:tcPr>
            <w:tcW w:w="1267" w:type="dxa"/>
            <w:tcBorders>
              <w:tl2br w:val="nil"/>
              <w:tr2bl w:val="nil"/>
            </w:tcBorders>
            <w:vAlign w:val="center"/>
          </w:tcPr>
          <w:p w14:paraId="1974465B">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ascii="宋体" w:hAnsi="宋体" w:cs="宋体"/>
                <w:kern w:val="0"/>
                <w:sz w:val="21"/>
                <w:szCs w:val="21"/>
              </w:rPr>
            </w:pPr>
            <w:r>
              <w:rPr>
                <w:rFonts w:hint="eastAsia" w:ascii="宋体" w:hAnsi="宋体" w:cs="宋体"/>
                <w:kern w:val="0"/>
                <w:sz w:val="21"/>
                <w:szCs w:val="21"/>
              </w:rPr>
              <w:t>大学生情绪管理</w:t>
            </w:r>
          </w:p>
        </w:tc>
        <w:tc>
          <w:tcPr>
            <w:tcW w:w="3783" w:type="dxa"/>
            <w:tcBorders>
              <w:tl2br w:val="nil"/>
              <w:tr2bl w:val="nil"/>
            </w:tcBorders>
            <w:vAlign w:val="center"/>
          </w:tcPr>
          <w:p w14:paraId="11C40E3F">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了解情绪对学习、生活、人际交往、认知行为和身心健康的影响。</w:t>
            </w:r>
          </w:p>
          <w:p w14:paraId="68AFF605">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了解大学生情绪管理的重要性。</w:t>
            </w:r>
          </w:p>
        </w:tc>
        <w:tc>
          <w:tcPr>
            <w:tcW w:w="3894" w:type="dxa"/>
            <w:tcBorders>
              <w:tl2br w:val="nil"/>
              <w:tr2bl w:val="nil"/>
            </w:tcBorders>
            <w:vAlign w:val="center"/>
          </w:tcPr>
          <w:p w14:paraId="0714F52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熟练掌握情绪健康标准并以此标准控制不良情绪。</w:t>
            </w:r>
          </w:p>
        </w:tc>
      </w:tr>
      <w:tr w14:paraId="174D6EE5">
        <w:trPr>
          <w:trHeight w:val="567" w:hRule="atLeast"/>
          <w:jc w:val="center"/>
        </w:trPr>
        <w:tc>
          <w:tcPr>
            <w:tcW w:w="694" w:type="dxa"/>
            <w:tcBorders>
              <w:tl2br w:val="nil"/>
              <w:tr2bl w:val="nil"/>
            </w:tcBorders>
            <w:vAlign w:val="center"/>
          </w:tcPr>
          <w:p w14:paraId="4A1561A2">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9</w:t>
            </w:r>
          </w:p>
        </w:tc>
        <w:tc>
          <w:tcPr>
            <w:tcW w:w="1267" w:type="dxa"/>
            <w:tcBorders>
              <w:tl2br w:val="nil"/>
              <w:tr2bl w:val="nil"/>
            </w:tcBorders>
            <w:vAlign w:val="center"/>
          </w:tcPr>
          <w:p w14:paraId="372AF405">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ascii="宋体" w:hAnsi="宋体" w:cs="宋体"/>
                <w:color w:val="000000"/>
                <w:kern w:val="0"/>
                <w:sz w:val="21"/>
                <w:szCs w:val="21"/>
              </w:rPr>
            </w:pPr>
            <w:r>
              <w:rPr>
                <w:rFonts w:hint="eastAsia" w:ascii="宋体" w:hAnsi="宋体" w:cs="宋体"/>
                <w:kern w:val="0"/>
                <w:sz w:val="21"/>
                <w:szCs w:val="21"/>
              </w:rPr>
              <w:t>大学生人际交往</w:t>
            </w:r>
          </w:p>
        </w:tc>
        <w:tc>
          <w:tcPr>
            <w:tcW w:w="3783" w:type="dxa"/>
            <w:tcBorders>
              <w:tl2br w:val="nil"/>
              <w:tr2bl w:val="nil"/>
            </w:tcBorders>
            <w:vAlign w:val="center"/>
          </w:tcPr>
          <w:p w14:paraId="2ABB77AB">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eastAsia="宋体" w:cs="宋体"/>
                <w:kern w:val="0"/>
                <w:sz w:val="21"/>
                <w:szCs w:val="21"/>
                <w:lang w:eastAsia="zh-CN"/>
              </w:rPr>
            </w:pPr>
            <w:r>
              <w:rPr>
                <w:rFonts w:hint="eastAsia" w:ascii="宋体" w:hAnsi="宋体" w:cs="宋体"/>
                <w:kern w:val="0"/>
                <w:sz w:val="21"/>
                <w:szCs w:val="21"/>
              </w:rPr>
              <w:t>●了解大学生人际交往的特点。</w:t>
            </w:r>
          </w:p>
          <w:p w14:paraId="7BF4876C">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●了解人际交往障碍产生的一般原因。</w:t>
            </w:r>
          </w:p>
        </w:tc>
        <w:tc>
          <w:tcPr>
            <w:tcW w:w="3894" w:type="dxa"/>
            <w:tcBorders>
              <w:tl2br w:val="nil"/>
              <w:tr2bl w:val="nil"/>
            </w:tcBorders>
            <w:vAlign w:val="center"/>
          </w:tcPr>
          <w:p w14:paraId="13957750">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掌握人际交往的一般原则和技巧，并能灵活应用到生活、工作当中。</w:t>
            </w:r>
          </w:p>
        </w:tc>
      </w:tr>
      <w:tr w14:paraId="2824A002">
        <w:trPr>
          <w:trHeight w:val="567" w:hRule="atLeast"/>
          <w:jc w:val="center"/>
        </w:trPr>
        <w:tc>
          <w:tcPr>
            <w:tcW w:w="694" w:type="dxa"/>
            <w:tcBorders>
              <w:tl2br w:val="nil"/>
              <w:tr2bl w:val="nil"/>
            </w:tcBorders>
            <w:vAlign w:val="center"/>
          </w:tcPr>
          <w:p w14:paraId="0C64A2DC">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10</w:t>
            </w:r>
          </w:p>
        </w:tc>
        <w:tc>
          <w:tcPr>
            <w:tcW w:w="1267" w:type="dxa"/>
            <w:tcBorders>
              <w:tl2br w:val="nil"/>
              <w:tr2bl w:val="nil"/>
            </w:tcBorders>
            <w:vAlign w:val="center"/>
          </w:tcPr>
          <w:p w14:paraId="61806A1E">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大学生恋爱与性心理问题管理</w:t>
            </w:r>
          </w:p>
        </w:tc>
        <w:tc>
          <w:tcPr>
            <w:tcW w:w="3783" w:type="dxa"/>
            <w:tcBorders>
              <w:tl2br w:val="nil"/>
              <w:tr2bl w:val="nil"/>
            </w:tcBorders>
            <w:vAlign w:val="center"/>
          </w:tcPr>
          <w:p w14:paraId="33B78742">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●了解什么是爱情及爱情的特征。</w:t>
            </w:r>
          </w:p>
        </w:tc>
        <w:tc>
          <w:tcPr>
            <w:tcW w:w="3894" w:type="dxa"/>
            <w:tcBorders>
              <w:tl2br w:val="nil"/>
              <w:tr2bl w:val="nil"/>
            </w:tcBorders>
            <w:vAlign w:val="center"/>
          </w:tcPr>
          <w:p w14:paraId="2194C35C">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cs="宋体"/>
                <w:kern w:val="0"/>
                <w:sz w:val="21"/>
                <w:szCs w:val="21"/>
              </w:rPr>
            </w:pPr>
            <w:r>
              <w:rPr>
                <w:rFonts w:hint="eastAsia" w:ascii="宋体" w:hAnsi="宋体" w:cs="宋体"/>
                <w:spacing w:val="23"/>
                <w:kern w:val="0"/>
                <w:sz w:val="21"/>
                <w:szCs w:val="21"/>
              </w:rPr>
              <w:t>提高恋爱中常见的心理问题的调适能力。</w:t>
            </w:r>
          </w:p>
        </w:tc>
      </w:tr>
      <w:tr w14:paraId="00E4C6A7">
        <w:trPr>
          <w:trHeight w:val="567" w:hRule="atLeast"/>
          <w:jc w:val="center"/>
        </w:trPr>
        <w:tc>
          <w:tcPr>
            <w:tcW w:w="694" w:type="dxa"/>
            <w:tcBorders>
              <w:tl2br w:val="nil"/>
              <w:tr2bl w:val="nil"/>
            </w:tcBorders>
            <w:vAlign w:val="center"/>
          </w:tcPr>
          <w:p w14:paraId="33381F3A">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11</w:t>
            </w:r>
          </w:p>
        </w:tc>
        <w:tc>
          <w:tcPr>
            <w:tcW w:w="1267" w:type="dxa"/>
            <w:tcBorders>
              <w:tl2br w:val="nil"/>
              <w:tr2bl w:val="nil"/>
            </w:tcBorders>
            <w:vAlign w:val="center"/>
          </w:tcPr>
          <w:p w14:paraId="2A2812A8">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大学生压力管理与挫折应对</w:t>
            </w:r>
          </w:p>
        </w:tc>
        <w:tc>
          <w:tcPr>
            <w:tcW w:w="3783" w:type="dxa"/>
            <w:tcBorders>
              <w:tl2br w:val="nil"/>
              <w:tr2bl w:val="nil"/>
            </w:tcBorders>
            <w:vAlign w:val="center"/>
          </w:tcPr>
          <w:p w14:paraId="3CCFA86B">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●掌握挫折与压力的含义。</w:t>
            </w:r>
          </w:p>
          <w:p w14:paraId="422800D4">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●理解大学生挫折表现与压力现状。</w:t>
            </w:r>
          </w:p>
        </w:tc>
        <w:tc>
          <w:tcPr>
            <w:tcW w:w="3894" w:type="dxa"/>
            <w:tcBorders>
              <w:tl2br w:val="nil"/>
              <w:tr2bl w:val="nil"/>
            </w:tcBorders>
            <w:vAlign w:val="center"/>
          </w:tcPr>
          <w:p w14:paraId="4B00F991">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cs="宋体"/>
                <w:kern w:val="0"/>
                <w:sz w:val="21"/>
                <w:szCs w:val="21"/>
              </w:rPr>
            </w:pPr>
            <w:r>
              <w:rPr>
                <w:rFonts w:hint="eastAsia" w:ascii="宋体" w:hAnsi="宋体" w:cs="宋体"/>
                <w:spacing w:val="20"/>
                <w:kern w:val="0"/>
                <w:sz w:val="21"/>
                <w:szCs w:val="21"/>
              </w:rPr>
              <w:t>培养学生认识和应对挫折与压力的能力。</w:t>
            </w:r>
          </w:p>
        </w:tc>
      </w:tr>
      <w:tr w14:paraId="60EA8C47">
        <w:trPr>
          <w:trHeight w:val="567" w:hRule="atLeast"/>
          <w:jc w:val="center"/>
        </w:trPr>
        <w:tc>
          <w:tcPr>
            <w:tcW w:w="694" w:type="dxa"/>
            <w:tcBorders>
              <w:tl2br w:val="nil"/>
              <w:tr2bl w:val="nil"/>
            </w:tcBorders>
            <w:vAlign w:val="center"/>
          </w:tcPr>
          <w:p w14:paraId="451C0086">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12</w:t>
            </w:r>
          </w:p>
        </w:tc>
        <w:tc>
          <w:tcPr>
            <w:tcW w:w="1267" w:type="dxa"/>
            <w:tcBorders>
              <w:tl2br w:val="nil"/>
              <w:tr2bl w:val="nil"/>
            </w:tcBorders>
            <w:vAlign w:val="center"/>
          </w:tcPr>
          <w:p w14:paraId="24F9644C">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大学生生命教育与心理危机应对</w:t>
            </w:r>
          </w:p>
        </w:tc>
        <w:tc>
          <w:tcPr>
            <w:tcW w:w="3783" w:type="dxa"/>
            <w:tcBorders>
              <w:tl2br w:val="nil"/>
              <w:tr2bl w:val="nil"/>
            </w:tcBorders>
            <w:vAlign w:val="center"/>
          </w:tcPr>
          <w:p w14:paraId="751F0C11">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●让学生明白生命的意义，珍爱生命。</w:t>
            </w:r>
          </w:p>
          <w:p w14:paraId="33F93730">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●大学生学会并积极干预心理危机，保持心理健康。</w:t>
            </w:r>
          </w:p>
        </w:tc>
        <w:tc>
          <w:tcPr>
            <w:tcW w:w="3894" w:type="dxa"/>
            <w:tcBorders>
              <w:tl2br w:val="nil"/>
              <w:tr2bl w:val="nil"/>
            </w:tcBorders>
            <w:vAlign w:val="center"/>
          </w:tcPr>
          <w:p w14:paraId="1AB80113">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cs="宋体"/>
                <w:kern w:val="0"/>
                <w:sz w:val="21"/>
                <w:szCs w:val="21"/>
              </w:rPr>
            </w:pPr>
            <w:r>
              <w:rPr>
                <w:rFonts w:hint="eastAsia" w:ascii="宋体" w:hAnsi="宋体" w:cs="宋体"/>
                <w:kern w:val="0"/>
                <w:sz w:val="21"/>
                <w:szCs w:val="21"/>
              </w:rPr>
              <w:t>提升受挫能力和情绪调节能力。</w:t>
            </w:r>
          </w:p>
          <w:p w14:paraId="52BE1878">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cs="宋体"/>
                <w:kern w:val="0"/>
                <w:sz w:val="21"/>
                <w:szCs w:val="21"/>
              </w:rPr>
            </w:pPr>
            <w:r>
              <w:rPr>
                <w:rFonts w:hint="eastAsia" w:ascii="宋体" w:hAnsi="宋体" w:cs="宋体"/>
                <w:kern w:val="0"/>
                <w:sz w:val="21"/>
                <w:szCs w:val="21"/>
              </w:rPr>
              <w:t>获得自我成长、自我认同的能力。</w:t>
            </w:r>
          </w:p>
        </w:tc>
      </w:tr>
    </w:tbl>
    <w:p w14:paraId="2962B863">
      <w:pPr>
        <w:keepNext w:val="0"/>
        <w:keepLines w:val="0"/>
        <w:pageBreakBefore w:val="0"/>
        <w:widowControl w:val="0"/>
        <w:kinsoku/>
        <w:wordWrap/>
        <w:overflowPunct/>
        <w:topLinePunct w:val="0"/>
        <w:autoSpaceDE/>
        <w:autoSpaceDN/>
        <w:bidi w:val="0"/>
        <w:adjustRightInd/>
        <w:snapToGrid/>
        <w:spacing w:line="240" w:lineRule="auto"/>
        <w:ind w:left="0" w:leftChars="0" w:firstLine="2523" w:firstLineChars="1200"/>
        <w:textAlignment w:val="auto"/>
        <w:rPr>
          <w:rFonts w:ascii="Times New Roman" w:hAnsi="Times New Roman"/>
          <w:b/>
          <w:bCs/>
          <w:kern w:val="44"/>
          <w:sz w:val="21"/>
          <w:szCs w:val="21"/>
        </w:rPr>
        <w:sectPr>
          <w:headerReference r:id="rId7" w:type="first"/>
          <w:footerReference r:id="rId9" w:type="first"/>
          <w:headerReference r:id="rId6" w:type="default"/>
          <w:footerReference r:id="rId8" w:type="default"/>
          <w:pgSz w:w="11906" w:h="16838"/>
          <w:pgMar w:top="567" w:right="567" w:bottom="567" w:left="567" w:header="567" w:footer="567" w:gutter="0"/>
          <w:pgBorders>
            <w:top w:val="none" w:sz="0" w:space="0"/>
            <w:left w:val="none" w:sz="0" w:space="0"/>
            <w:bottom w:val="none" w:sz="0" w:space="0"/>
            <w:right w:val="none" w:sz="0" w:space="0"/>
          </w:pgBorders>
          <w:cols w:space="720" w:num="1"/>
          <w:titlePg/>
          <w:docGrid w:type="lines" w:linePitch="312" w:charSpace="0"/>
        </w:sectPr>
      </w:pPr>
    </w:p>
    <w:p w14:paraId="216AF25E">
      <w:pPr>
        <w:keepNext/>
        <w:keepLines/>
        <w:pageBreakBefore w:val="0"/>
        <w:widowControl w:val="0"/>
        <w:kinsoku/>
        <w:wordWrap/>
        <w:overflowPunct/>
        <w:topLinePunct w:val="0"/>
        <w:autoSpaceDE/>
        <w:autoSpaceDN/>
        <w:bidi w:val="0"/>
        <w:adjustRightInd/>
        <w:snapToGrid/>
        <w:spacing w:after="157" w:afterLines="50" w:line="360" w:lineRule="auto"/>
        <w:jc w:val="center"/>
        <w:textAlignment w:val="auto"/>
        <w:outlineLvl w:val="1"/>
        <w:rPr>
          <w:rFonts w:hint="eastAsia" w:ascii="黑体" w:hAnsi="黑体" w:eastAsia="黑体" w:cs="黑体"/>
          <w:b/>
          <w:bCs/>
          <w:color w:val="843F0B" w:themeColor="accent2" w:themeShade="80"/>
          <w:sz w:val="32"/>
          <w:szCs w:val="32"/>
        </w:rPr>
      </w:pPr>
      <w:r>
        <w:rPr>
          <w:rFonts w:hint="eastAsia" w:ascii="黑体" w:hAnsi="黑体" w:eastAsia="黑体" w:cs="黑体"/>
          <w:b/>
          <w:bCs/>
          <w:color w:val="843F0B" w:themeColor="accent2" w:themeShade="80"/>
          <w:sz w:val="32"/>
          <w:szCs w:val="32"/>
        </w:rPr>
        <w:t>第</w:t>
      </w:r>
      <w:r>
        <w:rPr>
          <w:rFonts w:hint="eastAsia" w:ascii="黑体" w:hAnsi="黑体" w:eastAsia="黑体" w:cs="黑体"/>
          <w:b/>
          <w:bCs/>
          <w:color w:val="843F0B" w:themeColor="accent2" w:themeShade="80"/>
          <w:sz w:val="32"/>
          <w:szCs w:val="32"/>
          <w:lang w:val="en-US" w:eastAsia="zh-CN"/>
        </w:rPr>
        <w:t>3</w:t>
      </w:r>
      <w:r>
        <w:rPr>
          <w:rFonts w:hint="eastAsia" w:ascii="黑体" w:hAnsi="黑体" w:eastAsia="黑体" w:cs="黑体"/>
          <w:b/>
          <w:bCs/>
          <w:color w:val="843F0B" w:themeColor="accent2" w:themeShade="80"/>
          <w:sz w:val="32"/>
          <w:szCs w:val="32"/>
        </w:rPr>
        <w:t>课  大学生常见心理困惑与异常心理</w:t>
      </w:r>
    </w:p>
    <w:tbl>
      <w:tblPr>
        <w:tblStyle w:val="6"/>
        <w:tblW w:w="10205" w:type="dxa"/>
        <w:jc w:val="center"/>
        <w:tblBorders>
          <w:top w:val="double" w:color="833F0A" w:themeColor="accent2" w:themeShade="7F" w:sz="4" w:space="0"/>
          <w:left w:val="double" w:color="833F0A" w:themeColor="accent2" w:themeShade="7F" w:sz="4" w:space="0"/>
          <w:bottom w:val="double" w:color="833F0A" w:themeColor="accent2" w:themeShade="7F" w:sz="4" w:space="0"/>
          <w:right w:val="double" w:color="833F0A" w:themeColor="accent2" w:themeShade="7F" w:sz="4" w:space="0"/>
          <w:insideH w:val="single" w:color="833F0A" w:themeColor="accent2" w:themeShade="7F" w:sz="4" w:space="0"/>
          <w:insideV w:val="single" w:color="833F0A" w:themeColor="accent2" w:themeShade="7F" w:sz="4" w:space="0"/>
        </w:tblBorders>
        <w:tblLayout w:type="fixed"/>
        <w:tblCellMar>
          <w:top w:w="0" w:type="dxa"/>
          <w:left w:w="108" w:type="dxa"/>
          <w:bottom w:w="0" w:type="dxa"/>
          <w:right w:w="108" w:type="dxa"/>
        </w:tblCellMar>
      </w:tblPr>
      <w:tblGrid>
        <w:gridCol w:w="1538"/>
        <w:gridCol w:w="7050"/>
        <w:gridCol w:w="1617"/>
      </w:tblGrid>
      <w:tr w14:paraId="6D9CDE80">
        <w:trPr>
          <w:trHeight w:val="567" w:hRule="atLeast"/>
          <w:jc w:val="center"/>
        </w:trPr>
        <w:tc>
          <w:tcPr>
            <w:tcW w:w="1538" w:type="dxa"/>
            <w:tcBorders>
              <w:bottom w:val="dashSmallGap" w:color="ACD78D" w:themeColor="accent4" w:themeTint="99" w:sz="4" w:space="0"/>
              <w:right w:val="dashSmallGap" w:color="ACD78D" w:themeColor="accent4" w:themeTint="99" w:sz="4" w:space="0"/>
            </w:tcBorders>
            <w:shd w:val="clear" w:color="auto" w:fill="E3F2D9" w:themeFill="accent4" w:themeFillTint="32"/>
            <w:vAlign w:val="center"/>
          </w:tcPr>
          <w:p w14:paraId="5E681B9F">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hanging="8" w:firstLineChars="0"/>
              <w:jc w:val="center"/>
              <w:textAlignment w:val="auto"/>
              <w:rPr>
                <w:rFonts w:hint="eastAsia" w:ascii="黑体" w:hAnsi="黑体" w:eastAsia="黑体" w:cs="黑体"/>
                <w:b/>
                <w:color w:val="3B5F21" w:themeColor="accent4" w:themeShade="80"/>
                <w:szCs w:val="20"/>
              </w:rPr>
            </w:pPr>
            <w:r>
              <w:rPr>
                <w:rFonts w:hint="eastAsia" w:ascii="黑体" w:hAnsi="黑体" w:eastAsia="黑体" w:cs="黑体"/>
                <w:b/>
                <w:bCs w:val="0"/>
                <w:color w:val="588E32" w:themeColor="accent4" w:themeShade="BF"/>
                <w:szCs w:val="20"/>
                <w14:textFill>
                  <w14:solidFill>
                    <w14:schemeClr w14:val="accent4">
                      <w14:lumMod w14:val="75000"/>
                      <w14:alpha w14:val="0"/>
                    </w14:schemeClr>
                  </w14:solidFill>
                </w14:textFill>
              </w:rPr>
              <w:t>课  题</w:t>
            </w:r>
          </w:p>
        </w:tc>
        <w:tc>
          <w:tcPr>
            <w:tcW w:w="8667" w:type="dxa"/>
            <w:gridSpan w:val="2"/>
            <w:tcBorders>
              <w:left w:val="dashSmallGap" w:color="ACD78D" w:themeColor="accent4" w:themeTint="99" w:sz="4" w:space="0"/>
              <w:bottom w:val="dashSmallGap" w:color="ACD78D" w:themeColor="accent4" w:themeTint="99" w:sz="4" w:space="0"/>
            </w:tcBorders>
            <w:shd w:val="clear" w:color="auto" w:fill="FFFFF1"/>
            <w:vAlign w:val="center"/>
          </w:tcPr>
          <w:p w14:paraId="38E205C2">
            <w:pPr>
              <w:spacing w:line="360" w:lineRule="auto"/>
              <w:ind w:hanging="8"/>
              <w:rPr>
                <w:rFonts w:ascii="Times New Roman" w:hAnsi="Times New Roman"/>
                <w:szCs w:val="20"/>
              </w:rPr>
            </w:pPr>
            <w:r>
              <w:rPr>
                <w:rFonts w:hint="eastAsia" w:ascii="Times New Roman" w:hAnsi="宋体"/>
                <w:szCs w:val="20"/>
              </w:rPr>
              <w:t>大学生常见心理困惑与异常心理</w:t>
            </w:r>
          </w:p>
        </w:tc>
      </w:tr>
      <w:tr w14:paraId="0174A0D2">
        <w:trPr>
          <w:trHeight w:val="567" w:hRule="atLeast"/>
          <w:jc w:val="center"/>
        </w:trPr>
        <w:tc>
          <w:tcPr>
            <w:tcW w:w="1538" w:type="dxa"/>
            <w:tcBorders>
              <w:top w:val="dashSmallGap" w:color="ACD78D" w:themeColor="accent4" w:themeTint="99" w:sz="4" w:space="0"/>
              <w:bottom w:val="dashSmallGap" w:color="EF939E" w:themeColor="accent6" w:themeTint="99" w:sz="4" w:space="0"/>
              <w:right w:val="dashSmallGap" w:color="ACD78D" w:themeColor="accent4" w:themeTint="99" w:sz="4" w:space="0"/>
            </w:tcBorders>
            <w:shd w:val="clear" w:color="auto" w:fill="E3F2D9" w:themeFill="accent4" w:themeFillTint="32"/>
            <w:vAlign w:val="center"/>
          </w:tcPr>
          <w:p w14:paraId="48D5C455">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hanging="8" w:firstLineChars="0"/>
              <w:jc w:val="center"/>
              <w:textAlignment w:val="auto"/>
              <w:rPr>
                <w:rFonts w:hint="eastAsia" w:ascii="黑体" w:hAnsi="黑体" w:eastAsia="黑体" w:cs="黑体"/>
                <w:b/>
                <w:color w:val="3B5F21" w:themeColor="accent4" w:themeShade="80"/>
                <w:szCs w:val="20"/>
              </w:rPr>
            </w:pPr>
            <w:r>
              <w:rPr>
                <w:rFonts w:hint="eastAsia" w:ascii="黑体" w:hAnsi="黑体" w:eastAsia="黑体" w:cs="黑体"/>
                <w:b/>
                <w:bCs w:val="0"/>
                <w:color w:val="588E32" w:themeColor="accent4" w:themeShade="BF"/>
                <w:szCs w:val="20"/>
                <w14:textFill>
                  <w14:solidFill>
                    <w14:schemeClr w14:val="accent4">
                      <w14:lumMod w14:val="75000"/>
                      <w14:alpha w14:val="0"/>
                    </w14:schemeClr>
                  </w14:solidFill>
                </w14:textFill>
              </w:rPr>
              <w:t>课  时</w:t>
            </w:r>
          </w:p>
        </w:tc>
        <w:tc>
          <w:tcPr>
            <w:tcW w:w="8667" w:type="dxa"/>
            <w:gridSpan w:val="2"/>
            <w:tcBorders>
              <w:top w:val="dashSmallGap" w:color="ACD78D" w:themeColor="accent4" w:themeTint="99" w:sz="4" w:space="0"/>
              <w:left w:val="dashSmallGap" w:color="ACD78D" w:themeColor="accent4" w:themeTint="99" w:sz="4" w:space="0"/>
              <w:bottom w:val="dashSmallGap" w:color="EF939E" w:themeColor="accent6" w:themeTint="99" w:sz="4" w:space="0"/>
            </w:tcBorders>
            <w:shd w:val="clear" w:color="auto" w:fill="FFFFF1"/>
            <w:vAlign w:val="center"/>
          </w:tcPr>
          <w:p w14:paraId="47124F82">
            <w:pPr>
              <w:spacing w:line="360" w:lineRule="auto"/>
              <w:ind w:hanging="8"/>
              <w:rPr>
                <w:rFonts w:ascii="Times New Roman" w:hAnsi="Times New Roman"/>
                <w:szCs w:val="20"/>
              </w:rPr>
            </w:pPr>
            <w:r>
              <w:rPr>
                <w:rFonts w:hint="eastAsia" w:ascii="Times New Roman" w:hAnsi="Times New Roman"/>
                <w:szCs w:val="20"/>
                <w:lang w:val="en-US" w:eastAsia="zh-CN"/>
              </w:rPr>
              <w:t>2</w:t>
            </w:r>
            <w:r>
              <w:rPr>
                <w:rFonts w:ascii="Times New Roman" w:hAnsi="宋体"/>
                <w:szCs w:val="20"/>
              </w:rPr>
              <w:t>课时</w:t>
            </w:r>
            <w:r>
              <w:rPr>
                <w:rFonts w:hint="eastAsia" w:ascii="Times New Roman" w:hAnsi="宋体"/>
                <w:szCs w:val="20"/>
              </w:rPr>
              <w:t>（</w:t>
            </w:r>
            <w:r>
              <w:rPr>
                <w:rFonts w:hint="eastAsia" w:ascii="Times New Roman" w:hAnsi="宋体"/>
                <w:szCs w:val="20"/>
                <w:lang w:val="en-US" w:eastAsia="zh-CN"/>
              </w:rPr>
              <w:t>90</w:t>
            </w:r>
            <w:r>
              <w:rPr>
                <w:rFonts w:hint="eastAsia" w:ascii="Times New Roman" w:hAnsi="宋体"/>
                <w:szCs w:val="20"/>
              </w:rPr>
              <w:t>min）。</w:t>
            </w:r>
          </w:p>
        </w:tc>
      </w:tr>
      <w:tr w14:paraId="64ED9BFE">
        <w:trPr>
          <w:trHeight w:val="567" w:hRule="atLeast"/>
          <w:jc w:val="center"/>
        </w:trPr>
        <w:tc>
          <w:tcPr>
            <w:tcW w:w="1538" w:type="dxa"/>
            <w:tcBorders>
              <w:top w:val="dashSmallGap" w:color="EF939E" w:themeColor="accent6" w:themeTint="99" w:sz="4" w:space="0"/>
              <w:bottom w:val="dashSmallGap" w:color="EF939E" w:themeColor="accent6" w:themeTint="99" w:sz="4" w:space="0"/>
              <w:right w:val="dashSmallGap" w:color="EF939E" w:themeColor="accent6" w:themeTint="99" w:sz="4" w:space="0"/>
            </w:tcBorders>
            <w:shd w:val="clear" w:color="auto" w:fill="F4B7BE" w:themeFill="accent6" w:themeFillTint="66"/>
            <w:vAlign w:val="center"/>
          </w:tcPr>
          <w:p w14:paraId="52B83E55">
            <w:pPr>
              <w:spacing w:line="360" w:lineRule="auto"/>
              <w:ind w:hanging="8"/>
              <w:jc w:val="center"/>
              <w:rPr>
                <w:rFonts w:hint="eastAsia" w:ascii="黑体" w:hAnsi="黑体" w:eastAsia="黑体" w:cs="黑体"/>
                <w:b/>
                <w:szCs w:val="20"/>
              </w:rPr>
            </w:pPr>
            <w:r>
              <w:rPr>
                <w:rFonts w:hint="eastAsia" w:ascii="黑体" w:hAnsi="黑体" w:eastAsia="黑体" w:cs="黑体"/>
                <w:b/>
                <w:color w:val="851321" w:themeColor="accent6" w:themeShade="80"/>
                <w:szCs w:val="20"/>
              </w:rPr>
              <w:t>教学目标</w:t>
            </w:r>
          </w:p>
        </w:tc>
        <w:tc>
          <w:tcPr>
            <w:tcW w:w="8667" w:type="dxa"/>
            <w:gridSpan w:val="2"/>
            <w:tcBorders>
              <w:top w:val="dashSmallGap" w:color="EF939E" w:themeColor="accent6" w:themeTint="99" w:sz="4" w:space="0"/>
              <w:left w:val="dashSmallGap" w:color="EF939E" w:themeColor="accent6" w:themeTint="99" w:sz="4" w:space="0"/>
              <w:bottom w:val="dashSmallGap" w:color="EF939E" w:themeColor="accent6" w:themeTint="99" w:sz="4" w:space="0"/>
            </w:tcBorders>
            <w:shd w:val="clear" w:color="auto" w:fill="F8FFF5"/>
            <w:vAlign w:val="center"/>
          </w:tcPr>
          <w:p w14:paraId="3947DA50">
            <w:pPr>
              <w:spacing w:line="360" w:lineRule="auto"/>
              <w:ind w:hanging="8"/>
              <w:rPr>
                <w:b/>
              </w:rPr>
            </w:pPr>
            <w:r>
              <w:rPr>
                <w:rFonts w:hAnsi="宋体"/>
                <w:b/>
              </w:rPr>
              <w:t>知识</w:t>
            </w:r>
            <w:r>
              <w:rPr>
                <w:rFonts w:hint="eastAsia" w:hAnsi="宋体"/>
                <w:b/>
              </w:rPr>
              <w:t>技能</w:t>
            </w:r>
            <w:r>
              <w:rPr>
                <w:rFonts w:hAnsi="宋体"/>
                <w:b/>
              </w:rPr>
              <w:t>目标：</w:t>
            </w:r>
          </w:p>
          <w:p w14:paraId="5A4C6A79">
            <w:pPr>
              <w:spacing w:line="360" w:lineRule="auto"/>
              <w:ind w:hanging="8"/>
              <w:rPr>
                <w:rFonts w:hint="eastAsia" w:ascii="Times New Roman" w:hAnsi="宋体" w:eastAsia="宋体"/>
                <w:bCs/>
                <w:szCs w:val="20"/>
                <w:lang w:eastAsia="zh-CN"/>
              </w:rPr>
            </w:pPr>
            <w:r>
              <w:rPr>
                <w:rFonts w:ascii="Times New Roman" w:hAnsi="Times New Roman"/>
                <w:szCs w:val="20"/>
              </w:rPr>
              <w:t>1</w:t>
            </w:r>
            <w:r>
              <w:rPr>
                <w:rFonts w:ascii="Times New Roman" w:hAnsi="宋体"/>
                <w:bCs/>
                <w:szCs w:val="20"/>
              </w:rPr>
              <w:t>．</w:t>
            </w:r>
            <w:r>
              <w:rPr>
                <w:rFonts w:hint="eastAsia" w:ascii="Times New Roman" w:hAnsi="宋体"/>
                <w:bCs/>
                <w:szCs w:val="20"/>
              </w:rPr>
              <w:t>了解大学生常见心理困惑和心理障碍的分类（CCMD-3）。</w:t>
            </w:r>
          </w:p>
          <w:p w14:paraId="7FE965F4">
            <w:pPr>
              <w:spacing w:line="360" w:lineRule="auto"/>
              <w:ind w:hanging="8"/>
              <w:rPr>
                <w:rFonts w:hint="eastAsia" w:ascii="Times New Roman" w:hAnsi="宋体" w:eastAsia="宋体"/>
                <w:bCs/>
                <w:szCs w:val="20"/>
                <w:lang w:eastAsia="zh-CN"/>
              </w:rPr>
            </w:pPr>
            <w:r>
              <w:rPr>
                <w:rFonts w:ascii="Times New Roman" w:hAnsi="Times New Roman"/>
                <w:szCs w:val="20"/>
              </w:rPr>
              <w:t>2</w:t>
            </w:r>
            <w:r>
              <w:rPr>
                <w:rFonts w:ascii="Times New Roman" w:hAnsi="宋体"/>
                <w:bCs/>
                <w:szCs w:val="20"/>
              </w:rPr>
              <w:t>．</w:t>
            </w:r>
            <w:r>
              <w:rPr>
                <w:rFonts w:hint="eastAsia" w:ascii="Times New Roman" w:hAnsi="宋体"/>
                <w:bCs/>
                <w:szCs w:val="20"/>
                <w:lang w:eastAsia="zh-CN"/>
              </w:rPr>
              <w:t>掌握神经症的概念和共同特征。</w:t>
            </w:r>
          </w:p>
          <w:p w14:paraId="2316A8AB">
            <w:pPr>
              <w:spacing w:line="360" w:lineRule="auto"/>
              <w:ind w:hanging="8"/>
              <w:jc w:val="left"/>
              <w:rPr>
                <w:rFonts w:ascii="Times New Roman" w:hAnsi="宋体"/>
                <w:b/>
                <w:szCs w:val="20"/>
              </w:rPr>
            </w:pPr>
            <w:r>
              <w:rPr>
                <w:rFonts w:hint="eastAsia" w:ascii="Times New Roman" w:hAnsi="宋体"/>
                <w:b/>
                <w:szCs w:val="20"/>
              </w:rPr>
              <w:t>思政育人目标：</w:t>
            </w:r>
          </w:p>
          <w:p w14:paraId="75B6325C">
            <w:pPr>
              <w:spacing w:line="360" w:lineRule="auto"/>
              <w:ind w:hanging="8"/>
              <w:jc w:val="left"/>
              <w:rPr>
                <w:rFonts w:hint="eastAsia" w:ascii="Times New Roman" w:hAnsi="宋体" w:eastAsia="宋体"/>
                <w:szCs w:val="20"/>
                <w:lang w:eastAsia="zh-CN"/>
              </w:rPr>
            </w:pPr>
            <w:r>
              <w:rPr>
                <w:rFonts w:hint="eastAsia" w:ascii="Times New Roman" w:hAnsi="宋体"/>
                <w:szCs w:val="20"/>
              </w:rPr>
              <w:t>让学生通过学习</w:t>
            </w:r>
            <w:r>
              <w:rPr>
                <w:rFonts w:hint="eastAsia" w:ascii="Times New Roman" w:hAnsi="宋体"/>
                <w:szCs w:val="20"/>
                <w:lang w:eastAsia="zh-CN"/>
              </w:rPr>
              <w:t>大学生常见心理困惑与异常心理</w:t>
            </w:r>
            <w:r>
              <w:rPr>
                <w:rFonts w:hint="eastAsia" w:ascii="Times New Roman" w:hAnsi="宋体"/>
                <w:szCs w:val="20"/>
              </w:rPr>
              <w:t>，引入理论学习，</w:t>
            </w:r>
            <w:r>
              <w:rPr>
                <w:rFonts w:hint="eastAsia" w:ascii="Times New Roman" w:hAnsi="宋体"/>
                <w:szCs w:val="20"/>
                <w:lang w:eastAsia="zh-CN"/>
              </w:rPr>
              <w:t>让大学生具备识别神经症、抑郁症、精神分裂症、应激相关障碍、人格障碍的能力。</w:t>
            </w:r>
          </w:p>
        </w:tc>
      </w:tr>
      <w:tr w14:paraId="2A1728FA">
        <w:trPr>
          <w:trHeight w:val="567" w:hRule="atLeast"/>
          <w:jc w:val="center"/>
        </w:trPr>
        <w:tc>
          <w:tcPr>
            <w:tcW w:w="1538" w:type="dxa"/>
            <w:tcBorders>
              <w:top w:val="dashSmallGap" w:color="EF939E" w:themeColor="accent6" w:themeTint="99" w:sz="4" w:space="0"/>
              <w:bottom w:val="dashSmallGap" w:color="EE822F" w:themeColor="accent2" w:sz="4" w:space="0"/>
              <w:right w:val="dashSmallGap" w:color="EE822F" w:themeColor="accent2" w:sz="4" w:space="0"/>
            </w:tcBorders>
            <w:shd w:val="clear" w:color="auto" w:fill="FBE6D6" w:themeFill="accent2" w:themeFillTint="32"/>
            <w:vAlign w:val="center"/>
          </w:tcPr>
          <w:p w14:paraId="6C2B4C5E">
            <w:pPr>
              <w:spacing w:line="360" w:lineRule="auto"/>
              <w:ind w:hanging="8"/>
              <w:jc w:val="center"/>
              <w:rPr>
                <w:rFonts w:hint="eastAsia" w:ascii="黑体" w:hAnsi="黑体" w:eastAsia="黑体" w:cs="黑体"/>
                <w:b/>
                <w:color w:val="EE822F" w:themeColor="accent2"/>
                <w:szCs w:val="20"/>
                <w14:textFill>
                  <w14:solidFill>
                    <w14:schemeClr w14:val="accent2"/>
                  </w14:solidFill>
                </w14:textFill>
              </w:rPr>
            </w:pPr>
            <w:r>
              <w:rPr>
                <w:rFonts w:hint="eastAsia" w:ascii="黑体" w:hAnsi="黑体" w:eastAsia="黑体" w:cs="黑体"/>
                <w:b/>
                <w:color w:val="EE822F" w:themeColor="accent2"/>
                <w:szCs w:val="20"/>
                <w14:textFill>
                  <w14:solidFill>
                    <w14:schemeClr w14:val="accent2"/>
                  </w14:solidFill>
                </w14:textFill>
              </w:rPr>
              <w:t>教学重难点</w:t>
            </w:r>
          </w:p>
        </w:tc>
        <w:tc>
          <w:tcPr>
            <w:tcW w:w="8667" w:type="dxa"/>
            <w:gridSpan w:val="2"/>
            <w:tcBorders>
              <w:top w:val="dashSmallGap" w:color="EF939E" w:themeColor="accent6" w:themeTint="99" w:sz="4" w:space="0"/>
              <w:left w:val="dashSmallGap" w:color="EE822F" w:themeColor="accent2" w:sz="4" w:space="0"/>
              <w:bottom w:val="dashSmallGap" w:color="EE822F" w:themeColor="accent2" w:sz="4" w:space="0"/>
            </w:tcBorders>
            <w:shd w:val="clear" w:color="auto" w:fill="FFF9F2"/>
            <w:vAlign w:val="center"/>
          </w:tcPr>
          <w:p w14:paraId="40A0F443">
            <w:pPr>
              <w:spacing w:line="360" w:lineRule="auto"/>
              <w:ind w:hanging="8"/>
              <w:rPr>
                <w:rFonts w:ascii="Times New Roman" w:hAnsi="Times New Roman"/>
                <w:b/>
                <w:szCs w:val="20"/>
              </w:rPr>
            </w:pPr>
            <w:r>
              <w:rPr>
                <w:rFonts w:hint="eastAsia" w:ascii="Times New Roman" w:hAnsi="Times New Roman"/>
                <w:b/>
                <w:szCs w:val="20"/>
              </w:rPr>
              <w:t>教学重点：</w:t>
            </w:r>
          </w:p>
          <w:p w14:paraId="75F72A6B">
            <w:pPr>
              <w:spacing w:line="360" w:lineRule="auto"/>
              <w:ind w:hanging="8"/>
              <w:rPr>
                <w:rFonts w:hint="eastAsia" w:ascii="Times New Roman" w:hAnsi="宋体"/>
                <w:szCs w:val="20"/>
              </w:rPr>
            </w:pPr>
            <w:r>
              <w:rPr>
                <w:rFonts w:hint="eastAsia" w:ascii="Times New Roman" w:hAnsi="宋体"/>
                <w:szCs w:val="20"/>
              </w:rPr>
              <w:t>大学生常见的心理困惑及其调适</w:t>
            </w:r>
          </w:p>
          <w:p w14:paraId="35B6593E">
            <w:pPr>
              <w:spacing w:line="360" w:lineRule="auto"/>
              <w:ind w:hanging="8"/>
              <w:rPr>
                <w:rFonts w:ascii="Times New Roman" w:hAnsi="Times New Roman"/>
                <w:b/>
                <w:szCs w:val="20"/>
              </w:rPr>
            </w:pPr>
            <w:r>
              <w:rPr>
                <w:rFonts w:hint="eastAsia" w:ascii="Times New Roman" w:hAnsi="Times New Roman"/>
                <w:b/>
                <w:szCs w:val="20"/>
              </w:rPr>
              <w:t>教学难点：</w:t>
            </w:r>
          </w:p>
          <w:p w14:paraId="6E03F56C">
            <w:pPr>
              <w:spacing w:line="360" w:lineRule="auto"/>
              <w:ind w:hanging="8"/>
              <w:rPr>
                <w:rFonts w:hint="eastAsia" w:ascii="Times New Roman" w:hAnsi="宋体" w:eastAsia="宋体"/>
                <w:szCs w:val="20"/>
                <w:lang w:eastAsia="zh-CN"/>
              </w:rPr>
            </w:pPr>
            <w:r>
              <w:rPr>
                <w:rFonts w:hint="eastAsia" w:ascii="Times New Roman" w:hAnsi="宋体"/>
                <w:szCs w:val="20"/>
              </w:rPr>
              <w:t>大学生常见的心理疾病及其应对</w:t>
            </w:r>
          </w:p>
        </w:tc>
      </w:tr>
      <w:tr w14:paraId="6D19B846">
        <w:trPr>
          <w:trHeight w:val="567" w:hRule="atLeast"/>
          <w:jc w:val="center"/>
        </w:trPr>
        <w:tc>
          <w:tcPr>
            <w:tcW w:w="1538" w:type="dxa"/>
            <w:tcBorders>
              <w:top w:val="dashSmallGap" w:color="EE822F" w:themeColor="accent2" w:sz="4" w:space="0"/>
              <w:bottom w:val="dashSmallGap" w:color="EE822F" w:themeColor="accent2" w:sz="4" w:space="0"/>
              <w:right w:val="dashSmallGap" w:color="EE822F" w:themeColor="accent2" w:sz="4" w:space="0"/>
            </w:tcBorders>
            <w:shd w:val="clear" w:color="auto" w:fill="FBE6D6" w:themeFill="accent2" w:themeFillTint="32"/>
            <w:vAlign w:val="center"/>
          </w:tcPr>
          <w:p w14:paraId="5219354D">
            <w:pPr>
              <w:spacing w:line="360" w:lineRule="auto"/>
              <w:ind w:hanging="8"/>
              <w:jc w:val="center"/>
              <w:rPr>
                <w:rFonts w:hint="eastAsia" w:ascii="黑体" w:hAnsi="黑体" w:eastAsia="黑体" w:cs="黑体"/>
                <w:b/>
                <w:color w:val="EE822F" w:themeColor="accent2"/>
                <w:szCs w:val="20"/>
                <w14:textFill>
                  <w14:solidFill>
                    <w14:schemeClr w14:val="accent2"/>
                  </w14:solidFill>
                </w14:textFill>
              </w:rPr>
            </w:pPr>
            <w:r>
              <w:rPr>
                <w:rFonts w:hint="eastAsia" w:ascii="黑体" w:hAnsi="黑体" w:eastAsia="黑体" w:cs="黑体"/>
                <w:b/>
                <w:color w:val="EE822F" w:themeColor="accent2"/>
                <w:szCs w:val="20"/>
                <w14:textFill>
                  <w14:solidFill>
                    <w14:schemeClr w14:val="accent2"/>
                  </w14:solidFill>
                </w14:textFill>
              </w:rPr>
              <w:t>教学方法</w:t>
            </w:r>
          </w:p>
        </w:tc>
        <w:tc>
          <w:tcPr>
            <w:tcW w:w="8667" w:type="dxa"/>
            <w:gridSpan w:val="2"/>
            <w:tcBorders>
              <w:top w:val="dashSmallGap" w:color="EE822F" w:themeColor="accent2" w:sz="4" w:space="0"/>
              <w:left w:val="dashSmallGap" w:color="EE822F" w:themeColor="accent2" w:sz="4" w:space="0"/>
              <w:bottom w:val="dashSmallGap" w:color="EE822F" w:themeColor="accent2" w:sz="4" w:space="0"/>
            </w:tcBorders>
            <w:shd w:val="clear" w:color="auto" w:fill="FFF9F2"/>
            <w:vAlign w:val="center"/>
          </w:tcPr>
          <w:p w14:paraId="782310F2">
            <w:pPr>
              <w:spacing w:line="360" w:lineRule="auto"/>
              <w:ind w:hanging="8"/>
              <w:rPr>
                <w:rFonts w:ascii="Times New Roman" w:hAnsi="Times New Roman"/>
                <w:szCs w:val="20"/>
              </w:rPr>
            </w:pPr>
            <w:r>
              <w:rPr>
                <w:rFonts w:hint="eastAsia" w:ascii="Times New Roman" w:hAnsi="宋体"/>
                <w:szCs w:val="20"/>
              </w:rPr>
              <w:t>讲授法、问答法、讨论法</w:t>
            </w:r>
          </w:p>
        </w:tc>
      </w:tr>
      <w:tr w14:paraId="354546A2">
        <w:trPr>
          <w:trHeight w:val="567" w:hRule="atLeast"/>
          <w:jc w:val="center"/>
        </w:trPr>
        <w:tc>
          <w:tcPr>
            <w:tcW w:w="1538" w:type="dxa"/>
            <w:tcBorders>
              <w:top w:val="dashSmallGap" w:color="EE822F" w:themeColor="accent2" w:sz="4" w:space="0"/>
              <w:bottom w:val="dashSmallGap" w:color="4874CB" w:themeColor="accent1" w:sz="4" w:space="0"/>
              <w:right w:val="dashSmallGap" w:color="EE822F" w:themeColor="accent2" w:sz="4" w:space="0"/>
            </w:tcBorders>
            <w:shd w:val="clear" w:color="auto" w:fill="FBE6D6" w:themeFill="accent2" w:themeFillTint="32"/>
            <w:vAlign w:val="center"/>
          </w:tcPr>
          <w:p w14:paraId="547D300B">
            <w:pPr>
              <w:spacing w:line="360" w:lineRule="auto"/>
              <w:ind w:hanging="8"/>
              <w:jc w:val="center"/>
              <w:rPr>
                <w:rFonts w:hint="eastAsia" w:ascii="黑体" w:hAnsi="黑体" w:eastAsia="黑体" w:cs="黑体"/>
                <w:b/>
                <w:color w:val="EE822F" w:themeColor="accent2"/>
                <w:szCs w:val="20"/>
                <w14:textFill>
                  <w14:solidFill>
                    <w14:schemeClr w14:val="accent2"/>
                  </w14:solidFill>
                </w14:textFill>
              </w:rPr>
            </w:pPr>
            <w:r>
              <w:rPr>
                <w:rFonts w:hint="eastAsia" w:ascii="黑体" w:hAnsi="黑体" w:eastAsia="黑体" w:cs="黑体"/>
                <w:b/>
                <w:color w:val="EE822F" w:themeColor="accent2"/>
                <w:szCs w:val="20"/>
                <w14:textFill>
                  <w14:solidFill>
                    <w14:schemeClr w14:val="accent2"/>
                  </w14:solidFill>
                </w14:textFill>
              </w:rPr>
              <w:t>教学用具</w:t>
            </w:r>
          </w:p>
        </w:tc>
        <w:tc>
          <w:tcPr>
            <w:tcW w:w="8667" w:type="dxa"/>
            <w:gridSpan w:val="2"/>
            <w:tcBorders>
              <w:top w:val="dashSmallGap" w:color="EE822F" w:themeColor="accent2" w:sz="4" w:space="0"/>
              <w:left w:val="dashSmallGap" w:color="EE822F" w:themeColor="accent2" w:sz="4" w:space="0"/>
              <w:bottom w:val="dashSmallGap" w:color="4874CB" w:themeColor="accent1" w:sz="4" w:space="0"/>
            </w:tcBorders>
            <w:shd w:val="clear" w:color="auto" w:fill="FFF9F2"/>
            <w:vAlign w:val="center"/>
          </w:tcPr>
          <w:p w14:paraId="3174B6B3">
            <w:pPr>
              <w:spacing w:line="360" w:lineRule="auto"/>
              <w:ind w:hanging="8"/>
              <w:rPr>
                <w:rFonts w:ascii="Times New Roman" w:hAnsi="Times New Roman"/>
                <w:szCs w:val="20"/>
              </w:rPr>
            </w:pPr>
            <w:r>
              <w:rPr>
                <w:rFonts w:hint="eastAsia" w:ascii="Times New Roman" w:hAnsi="宋体"/>
                <w:szCs w:val="20"/>
              </w:rPr>
              <w:t>电脑、投影仪、</w:t>
            </w:r>
            <w:r>
              <w:rPr>
                <w:rFonts w:ascii="Times New Roman" w:hAnsi="宋体"/>
                <w:szCs w:val="20"/>
              </w:rPr>
              <w:t>多媒体</w:t>
            </w:r>
            <w:r>
              <w:rPr>
                <w:rFonts w:hint="eastAsia" w:ascii="Times New Roman" w:hAnsi="宋体"/>
                <w:szCs w:val="20"/>
              </w:rPr>
              <w:t>课件、教材</w:t>
            </w:r>
          </w:p>
        </w:tc>
      </w:tr>
      <w:tr w14:paraId="47F79B2F">
        <w:trPr>
          <w:trHeight w:val="567" w:hRule="atLeast"/>
          <w:jc w:val="center"/>
        </w:trPr>
        <w:tc>
          <w:tcPr>
            <w:tcW w:w="1538" w:type="dxa"/>
            <w:tcBorders>
              <w:top w:val="dashSmallGap" w:color="4874CB" w:themeColor="accent1" w:sz="4" w:space="0"/>
              <w:bottom w:val="double" w:color="833F0A" w:themeColor="accent2" w:themeShade="7F" w:sz="4" w:space="0"/>
              <w:right w:val="dashSmallGap" w:color="4874CB" w:themeColor="accent1" w:sz="4" w:space="0"/>
            </w:tcBorders>
            <w:shd w:val="clear" w:color="auto" w:fill="C6DFF7"/>
            <w:vAlign w:val="center"/>
          </w:tcPr>
          <w:p w14:paraId="66F37B19">
            <w:pPr>
              <w:spacing w:line="360" w:lineRule="auto"/>
              <w:ind w:hanging="8"/>
              <w:jc w:val="center"/>
              <w:rPr>
                <w:rFonts w:hint="eastAsia" w:ascii="黑体" w:hAnsi="黑体" w:eastAsia="黑体" w:cs="黑体"/>
                <w:b/>
                <w:szCs w:val="20"/>
              </w:rPr>
            </w:pPr>
            <w:r>
              <w:rPr>
                <w:rFonts w:hint="eastAsia" w:ascii="黑体" w:hAnsi="黑体" w:eastAsia="黑体" w:cs="黑体"/>
                <w:b/>
                <w:szCs w:val="20"/>
              </w:rPr>
              <w:t>教学设计</w:t>
            </w:r>
          </w:p>
        </w:tc>
        <w:tc>
          <w:tcPr>
            <w:tcW w:w="8667" w:type="dxa"/>
            <w:gridSpan w:val="2"/>
            <w:tcBorders>
              <w:top w:val="dashSmallGap" w:color="4874CB" w:themeColor="accent1" w:sz="4" w:space="0"/>
              <w:left w:val="dashSmallGap" w:color="4874CB" w:themeColor="accent1" w:sz="4" w:space="0"/>
              <w:bottom w:val="double" w:color="833F0A" w:themeColor="accent2" w:themeShade="7F" w:sz="4" w:space="0"/>
            </w:tcBorders>
            <w:shd w:val="clear" w:color="auto" w:fill="EBF5FF"/>
            <w:vAlign w:val="center"/>
          </w:tcPr>
          <w:p w14:paraId="0D4446CC">
            <w:pPr>
              <w:spacing w:line="360" w:lineRule="auto"/>
              <w:rPr>
                <w:rFonts w:ascii="Times New Roman" w:hAnsi="宋体"/>
                <w:szCs w:val="20"/>
              </w:rPr>
            </w:pPr>
            <w:r>
              <w:rPr>
                <w:rFonts w:hint="eastAsia" w:ascii="Times New Roman" w:hAnsi="宋体"/>
                <w:szCs w:val="20"/>
              </w:rPr>
              <w:t>第1节课：激趣导入（15min）--传授新知（30min）</w:t>
            </w:r>
          </w:p>
          <w:p w14:paraId="5F6B9524">
            <w:pPr>
              <w:spacing w:line="360" w:lineRule="auto"/>
              <w:rPr>
                <w:rFonts w:hint="eastAsia" w:ascii="Times New Roman" w:hAnsi="宋体"/>
                <w:szCs w:val="20"/>
              </w:rPr>
            </w:pPr>
            <w:r>
              <w:rPr>
                <w:rFonts w:hint="eastAsia" w:ascii="Times New Roman" w:hAnsi="宋体"/>
                <w:szCs w:val="20"/>
              </w:rPr>
              <w:t>第</w:t>
            </w:r>
            <w:r>
              <w:rPr>
                <w:rFonts w:ascii="Times New Roman" w:hAnsi="宋体"/>
                <w:szCs w:val="20"/>
              </w:rPr>
              <w:t>2</w:t>
            </w:r>
            <w:r>
              <w:rPr>
                <w:rFonts w:hint="eastAsia" w:ascii="Times New Roman" w:hAnsi="宋体"/>
                <w:szCs w:val="20"/>
              </w:rPr>
              <w:t>节课：继续探索（</w:t>
            </w:r>
            <w:r>
              <w:rPr>
                <w:rFonts w:hint="eastAsia" w:ascii="Times New Roman" w:hAnsi="宋体"/>
                <w:szCs w:val="20"/>
                <w:lang w:val="en-US" w:eastAsia="zh-CN"/>
              </w:rPr>
              <w:t>40</w:t>
            </w:r>
            <w:r>
              <w:rPr>
                <w:rFonts w:hint="eastAsia" w:ascii="Times New Roman" w:hAnsi="宋体"/>
                <w:szCs w:val="20"/>
              </w:rPr>
              <w:t>min）----课堂小结（3min）--作业布置（2min）</w:t>
            </w:r>
          </w:p>
        </w:tc>
      </w:tr>
      <w:tr w14:paraId="74F94E37">
        <w:trPr>
          <w:trHeight w:val="567" w:hRule="atLeast"/>
          <w:jc w:val="center"/>
        </w:trPr>
        <w:tc>
          <w:tcPr>
            <w:tcW w:w="1538" w:type="dxa"/>
            <w:tcBorders>
              <w:top w:val="double" w:color="833F0A" w:themeColor="accent2" w:themeShade="7F" w:sz="4" w:space="0"/>
              <w:bottom w:val="double" w:color="833F0A" w:themeColor="accent2" w:themeShade="7F" w:sz="4" w:space="0"/>
              <w:right w:val="single" w:color="833F0A" w:themeColor="accent2" w:themeShade="7F" w:sz="4" w:space="0"/>
            </w:tcBorders>
            <w:shd w:val="clear" w:color="auto" w:fill="ACD78D" w:themeFill="accent4" w:themeFillTint="99"/>
            <w:vAlign w:val="center"/>
          </w:tcPr>
          <w:p w14:paraId="34394223">
            <w:pPr>
              <w:spacing w:line="360" w:lineRule="auto"/>
              <w:ind w:hanging="8"/>
              <w:jc w:val="center"/>
              <w:rPr>
                <w:rFonts w:hint="eastAsia" w:ascii="黑体" w:hAnsi="黑体" w:eastAsia="黑体" w:cs="黑体"/>
                <w:b w:val="0"/>
                <w:bCs w:val="0"/>
                <w:color w:val="843F0B" w:themeColor="accent2" w:themeShade="80"/>
                <w:szCs w:val="24"/>
              </w:rPr>
            </w:pPr>
            <w:r>
              <w:rPr>
                <w:rFonts w:hint="eastAsia" w:ascii="黑体" w:hAnsi="黑体" w:eastAsia="黑体" w:cs="黑体"/>
                <w:b w:val="0"/>
                <w:bCs w:val="0"/>
                <w:color w:val="843F0B" w:themeColor="accent2" w:themeShade="80"/>
                <w:szCs w:val="24"/>
              </w:rPr>
              <w:t>教学过程</w:t>
            </w:r>
          </w:p>
        </w:tc>
        <w:tc>
          <w:tcPr>
            <w:tcW w:w="7050" w:type="dxa"/>
            <w:tcBorders>
              <w:top w:val="double" w:color="833F0A" w:themeColor="accent2" w:themeShade="7F" w:sz="4" w:space="0"/>
              <w:left w:val="single" w:color="833F0A" w:themeColor="accent2" w:themeShade="7F" w:sz="4" w:space="0"/>
              <w:bottom w:val="double" w:color="833F0A" w:themeColor="accent2" w:themeShade="7F" w:sz="4" w:space="0"/>
              <w:right w:val="single" w:color="833F0A" w:themeColor="accent2" w:themeShade="7F" w:sz="4" w:space="0"/>
            </w:tcBorders>
            <w:shd w:val="clear" w:color="auto" w:fill="ACD78D" w:themeFill="accent4" w:themeFillTint="99"/>
            <w:vAlign w:val="center"/>
          </w:tcPr>
          <w:p w14:paraId="21F959F7">
            <w:pPr>
              <w:spacing w:line="360" w:lineRule="auto"/>
              <w:jc w:val="center"/>
              <w:rPr>
                <w:rFonts w:hint="eastAsia" w:ascii="黑体" w:hAnsi="黑体" w:eastAsia="黑体" w:cs="黑体"/>
                <w:b w:val="0"/>
                <w:bCs w:val="0"/>
                <w:color w:val="843F0B" w:themeColor="accent2" w:themeShade="80"/>
                <w:szCs w:val="20"/>
              </w:rPr>
            </w:pPr>
            <w:r>
              <w:rPr>
                <w:rFonts w:hint="eastAsia" w:ascii="黑体" w:hAnsi="黑体" w:eastAsia="黑体" w:cs="黑体"/>
                <w:b w:val="0"/>
                <w:bCs w:val="0"/>
                <w:color w:val="843F0B" w:themeColor="accent2" w:themeShade="80"/>
                <w:szCs w:val="24"/>
              </w:rPr>
              <w:t>主 要 教 学 内 容 及 步 骤</w:t>
            </w:r>
          </w:p>
        </w:tc>
        <w:tc>
          <w:tcPr>
            <w:tcW w:w="1617" w:type="dxa"/>
            <w:tcBorders>
              <w:top w:val="double" w:color="833F0A" w:themeColor="accent2" w:themeShade="7F" w:sz="4" w:space="0"/>
              <w:left w:val="single" w:color="833F0A" w:themeColor="accent2" w:themeShade="7F" w:sz="4" w:space="0"/>
              <w:bottom w:val="double" w:color="833F0A" w:themeColor="accent2" w:themeShade="7F" w:sz="4" w:space="0"/>
            </w:tcBorders>
            <w:shd w:val="clear" w:color="auto" w:fill="ACD78D" w:themeFill="accent4" w:themeFillTint="99"/>
            <w:vAlign w:val="center"/>
          </w:tcPr>
          <w:p w14:paraId="7E8E2924">
            <w:pPr>
              <w:spacing w:line="360" w:lineRule="auto"/>
              <w:jc w:val="center"/>
              <w:rPr>
                <w:rFonts w:hint="eastAsia" w:ascii="黑体" w:hAnsi="黑体" w:eastAsia="黑体" w:cs="黑体"/>
                <w:b w:val="0"/>
                <w:bCs w:val="0"/>
                <w:color w:val="843F0B" w:themeColor="accent2" w:themeShade="80"/>
                <w:szCs w:val="20"/>
              </w:rPr>
            </w:pPr>
            <w:r>
              <w:rPr>
                <w:rFonts w:hint="eastAsia" w:ascii="黑体" w:hAnsi="黑体" w:eastAsia="黑体" w:cs="黑体"/>
                <w:b w:val="0"/>
                <w:bCs w:val="0"/>
                <w:color w:val="843F0B" w:themeColor="accent2" w:themeShade="80"/>
                <w:szCs w:val="20"/>
              </w:rPr>
              <w:t>设计意图</w:t>
            </w:r>
          </w:p>
        </w:tc>
      </w:tr>
      <w:tr w14:paraId="400EE313">
        <w:trPr>
          <w:trHeight w:val="567" w:hRule="atLeast"/>
          <w:jc w:val="center"/>
        </w:trPr>
        <w:tc>
          <w:tcPr>
            <w:tcW w:w="1538" w:type="dxa"/>
            <w:tcBorders>
              <w:top w:val="double" w:color="833F0A" w:themeColor="accent2" w:themeShade="7F" w:sz="4" w:space="0"/>
              <w:bottom w:val="dashSmallGap" w:color="E54C5E" w:themeColor="accent6" w:sz="4" w:space="0"/>
              <w:right w:val="dashSmallGap" w:color="833F0A" w:themeColor="accent2" w:themeShade="7F" w:sz="4" w:space="0"/>
            </w:tcBorders>
            <w:shd w:val="clear" w:color="auto" w:fill="FEFFE9"/>
            <w:vAlign w:val="center"/>
          </w:tcPr>
          <w:p w14:paraId="5DBB22E2">
            <w:pPr>
              <w:spacing w:line="360" w:lineRule="auto"/>
              <w:rPr>
                <w:rFonts w:ascii="微软雅黑" w:hAnsi="微软雅黑" w:eastAsia="微软雅黑"/>
                <w:b/>
                <w:sz w:val="24"/>
                <w:szCs w:val="24"/>
              </w:rPr>
            </w:pPr>
          </w:p>
          <w:p w14:paraId="182662C3">
            <w:pPr>
              <w:spacing w:line="360" w:lineRule="auto"/>
              <w:jc w:val="center"/>
              <w:rPr>
                <w:rFonts w:ascii="微软雅黑" w:hAnsi="微软雅黑" w:eastAsia="微软雅黑"/>
                <w:b/>
                <w:color w:val="843F0B" w:themeColor="accent2" w:themeShade="80"/>
                <w:sz w:val="24"/>
                <w:szCs w:val="24"/>
              </w:rPr>
            </w:pPr>
            <w:r>
              <w:rPr>
                <w:rFonts w:hint="eastAsia" w:ascii="微软雅黑" w:hAnsi="微软雅黑" w:eastAsia="微软雅黑"/>
                <w:b/>
                <w:color w:val="843F0B" w:themeColor="accent2" w:themeShade="80"/>
                <w:sz w:val="24"/>
                <w:szCs w:val="24"/>
              </w:rPr>
              <w:t>激趣导入</w:t>
            </w:r>
          </w:p>
          <w:p w14:paraId="4AA7C3F9">
            <w:pPr>
              <w:spacing w:line="360" w:lineRule="auto"/>
              <w:ind w:hanging="8"/>
              <w:jc w:val="center"/>
              <w:rPr>
                <w:rFonts w:ascii="Times New Roman" w:hAnsi="Times New Roman"/>
                <w:b/>
                <w:szCs w:val="24"/>
              </w:rPr>
            </w:pPr>
            <w:r>
              <w:rPr>
                <w:rFonts w:ascii="Times New Roman" w:hAnsi="Times New Roman"/>
                <w:color w:val="843F0B" w:themeColor="accent2" w:themeShade="80"/>
                <w:szCs w:val="24"/>
              </w:rPr>
              <w:t>（15</w:t>
            </w:r>
            <w:r>
              <w:rPr>
                <w:rFonts w:hint="eastAsia" w:ascii="Times New Roman" w:hAnsi="Times New Roman"/>
                <w:color w:val="843F0B" w:themeColor="accent2" w:themeShade="80"/>
                <w:szCs w:val="24"/>
              </w:rPr>
              <w:t>min</w:t>
            </w:r>
            <w:r>
              <w:rPr>
                <w:rFonts w:ascii="Times New Roman" w:hAnsi="Times New Roman"/>
                <w:color w:val="843F0B" w:themeColor="accent2" w:themeShade="80"/>
                <w:szCs w:val="24"/>
              </w:rPr>
              <w:t>）</w:t>
            </w:r>
          </w:p>
        </w:tc>
        <w:tc>
          <w:tcPr>
            <w:tcW w:w="7050" w:type="dxa"/>
            <w:tcBorders>
              <w:top w:val="double" w:color="833F0A" w:themeColor="accent2" w:themeShade="7F" w:sz="4" w:space="0"/>
              <w:left w:val="dashSmallGap" w:color="833F0A" w:themeColor="accent2" w:themeShade="7F" w:sz="4" w:space="0"/>
              <w:bottom w:val="dashSmallGap" w:color="E54C5E" w:themeColor="accent6" w:sz="4" w:space="0"/>
              <w:right w:val="dashSmallGap" w:color="833F0A" w:themeColor="accent2" w:themeShade="7F" w:sz="4" w:space="0"/>
            </w:tcBorders>
            <w:vAlign w:val="center"/>
          </w:tcPr>
          <w:p w14:paraId="4FBF39C4">
            <w:pPr>
              <w:spacing w:line="360" w:lineRule="auto"/>
              <w:rPr>
                <w:rFonts w:hint="eastAsia"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lang w:val="en-US" w:eastAsia="zh-CN"/>
              </w:rPr>
              <w:t>讲解故事</w:t>
            </w:r>
          </w:p>
          <w:p w14:paraId="2573DCCE">
            <w:pPr>
              <w:spacing w:line="360" w:lineRule="auto"/>
              <w:ind w:firstLine="420" w:firstLineChars="200"/>
              <w:jc w:val="center"/>
              <w:rPr>
                <w:rFonts w:hint="eastAsia" w:ascii="宋体" w:hAnsi="宋体" w:cs="宋体"/>
                <w:b w:val="0"/>
                <w:bCs/>
                <w:kern w:val="0"/>
                <w:szCs w:val="24"/>
              </w:rPr>
            </w:pPr>
            <w:r>
              <w:rPr>
                <w:rFonts w:hint="eastAsia" w:ascii="宋体" w:hAnsi="宋体" w:cs="宋体"/>
                <w:b w:val="0"/>
                <w:bCs/>
                <w:kern w:val="0"/>
                <w:szCs w:val="24"/>
              </w:rPr>
              <w:t>痛并快乐着的爱</w:t>
            </w:r>
          </w:p>
          <w:p w14:paraId="659BC908">
            <w:pPr>
              <w:spacing w:line="360" w:lineRule="auto"/>
              <w:ind w:firstLine="420" w:firstLineChars="200"/>
              <w:rPr>
                <w:rFonts w:ascii="宋体" w:hAnsi="宋体" w:cs="宋体"/>
                <w:b/>
                <w:kern w:val="0"/>
                <w:szCs w:val="24"/>
              </w:rPr>
            </w:pPr>
            <w:r>
              <w:rPr>
                <w:rFonts w:hint="eastAsia" w:ascii="宋体" w:hAnsi="宋体" w:cs="宋体"/>
                <w:b w:val="0"/>
                <w:bCs/>
                <w:kern w:val="0"/>
                <w:szCs w:val="24"/>
              </w:rPr>
              <w:t>阳娜（化名，女，大三学生）在谈论自己的爱情经历时情绪波动很大。大一的时候，看着身边很多同学谈恋爱，加上也有男生追求自己，心底难免泛起一种恋爱的冲动，但又害怕影响学习并遭父母反对，一直犹豫回避。到了大二上学期，还是经不起其中一位风度翩翩的男生的执著追求，和他确立了恋爱关系。爱情的确很甜蜜，阳娜和男友的亲密程度快速升级，大二下学期，阳娜就抵挡不住男友强势的诱惑和要求，两人同居了。在同学的艳羡和祝福中，阳娜原本以为这会是他们人生幸福的起点，可没想到她的美丽、温柔、才华和付出并没有真正拴住男友的心。到大三，他们俩经常吵架，男友嫌弃阳娜黏人、霸道、管得太多，而阳娜越来越觉得男友不成熟、不上进。就这样在纠结、对立和隐忍中度过了几个月，终于有一次阳娜撞见男友拉着另外一个女生的手，还没等阳娜破口大骂，男友就先提出分手，并指责她很多让人厌烦的地方。阳娜一时间气急败坏竟说不出话来，此后每天都暗自哭泣，心里满是失落、怨恨和懊悔……</w:t>
            </w:r>
          </w:p>
          <w:p w14:paraId="4DAC1EE9">
            <w:pPr>
              <w:spacing w:line="360" w:lineRule="auto"/>
              <w:rPr>
                <w:rFonts w:ascii="Times New Roman" w:hAnsi="Times New Roman"/>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rPr>
              <w:t>发言，分享</w:t>
            </w:r>
            <w:r>
              <w:rPr>
                <w:rFonts w:hint="eastAsia" w:ascii="Times New Roman" w:hAnsi="Times New Roman"/>
                <w:b/>
                <w:color w:val="CC0066"/>
                <w:lang w:eastAsia="zh-CN"/>
              </w:rPr>
              <w:t>见解</w:t>
            </w:r>
            <w:r>
              <w:rPr>
                <w:rFonts w:hint="eastAsia" w:ascii="Times New Roman" w:hAnsi="Times New Roman"/>
                <w:b/>
                <w:color w:val="CC0066"/>
              </w:rPr>
              <w:t>。</w:t>
            </w:r>
          </w:p>
        </w:tc>
        <w:tc>
          <w:tcPr>
            <w:tcW w:w="1617" w:type="dxa"/>
            <w:tcBorders>
              <w:top w:val="double" w:color="833F0A" w:themeColor="accent2" w:themeShade="7F" w:sz="4" w:space="0"/>
              <w:left w:val="dashSmallGap" w:color="833F0A" w:themeColor="accent2" w:themeShade="7F" w:sz="4" w:space="0"/>
              <w:bottom w:val="dashSmallGap" w:color="E54C5E" w:themeColor="accent6" w:sz="4" w:space="0"/>
            </w:tcBorders>
            <w:shd w:val="clear" w:color="auto" w:fill="auto"/>
            <w:vAlign w:val="center"/>
          </w:tcPr>
          <w:p w14:paraId="0639F982">
            <w:pPr>
              <w:spacing w:line="360" w:lineRule="auto"/>
              <w:jc w:val="both"/>
              <w:rPr>
                <w:rFonts w:ascii="Times New Roman" w:hAnsi="Times New Roman"/>
                <w:b/>
                <w:szCs w:val="24"/>
              </w:rPr>
            </w:pPr>
            <w:r>
              <w:rPr>
                <w:rFonts w:hint="eastAsia" w:ascii="Times New Roman" w:hAnsi="Times New Roman"/>
                <w:b w:val="0"/>
                <w:bCs/>
                <w:szCs w:val="24"/>
              </w:rPr>
              <w:t>通过</w:t>
            </w:r>
            <w:r>
              <w:rPr>
                <w:rFonts w:hint="eastAsia" w:ascii="Times New Roman" w:hAnsi="Times New Roman"/>
                <w:b w:val="0"/>
                <w:bCs/>
                <w:szCs w:val="24"/>
                <w:lang w:val="en-US" w:eastAsia="zh-CN"/>
              </w:rPr>
              <w:t>聆听故事</w:t>
            </w:r>
            <w:r>
              <w:rPr>
                <w:rFonts w:hint="eastAsia" w:ascii="Times New Roman" w:hAnsi="Times New Roman"/>
                <w:b w:val="0"/>
                <w:bCs/>
                <w:szCs w:val="24"/>
              </w:rPr>
              <w:t>，让学生了解</w:t>
            </w:r>
            <w:r>
              <w:rPr>
                <w:rFonts w:hint="eastAsia" w:ascii="Times New Roman" w:hAnsi="Times New Roman"/>
                <w:b w:val="0"/>
                <w:bCs/>
                <w:szCs w:val="24"/>
                <w:lang w:eastAsia="zh-CN"/>
              </w:rPr>
              <w:t>心理学</w:t>
            </w:r>
            <w:r>
              <w:rPr>
                <w:rFonts w:hint="eastAsia" w:ascii="Times New Roman" w:hAnsi="Times New Roman"/>
                <w:b w:val="0"/>
                <w:bCs/>
                <w:szCs w:val="24"/>
              </w:rPr>
              <w:t>，激发学生的学习欲望。</w:t>
            </w:r>
          </w:p>
        </w:tc>
      </w:tr>
      <w:tr w14:paraId="66D132EF">
        <w:trPr>
          <w:trHeight w:val="567" w:hRule="atLeast"/>
          <w:jc w:val="center"/>
        </w:trPr>
        <w:tc>
          <w:tcPr>
            <w:tcW w:w="1538" w:type="dxa"/>
            <w:tcBorders>
              <w:top w:val="dashSmallGap" w:color="E54C5E" w:themeColor="accent6" w:sz="4" w:space="0"/>
              <w:bottom w:val="dashSmallGap" w:color="E54C5E" w:themeColor="accent6" w:sz="4" w:space="0"/>
              <w:right w:val="dashSmallGap" w:color="E54C5E" w:themeColor="accent6" w:sz="4" w:space="0"/>
            </w:tcBorders>
            <w:shd w:val="clear" w:color="auto" w:fill="F9DBDF" w:themeFill="accent6" w:themeFillTint="32"/>
            <w:vAlign w:val="center"/>
          </w:tcPr>
          <w:p w14:paraId="433EB227">
            <w:pPr>
              <w:spacing w:line="360" w:lineRule="auto"/>
              <w:jc w:val="center"/>
              <w:rPr>
                <w:rFonts w:ascii="微软雅黑" w:hAnsi="微软雅黑" w:eastAsia="微软雅黑"/>
                <w:b/>
                <w:color w:val="851321" w:themeColor="accent6" w:themeShade="80"/>
                <w:sz w:val="24"/>
                <w:szCs w:val="24"/>
              </w:rPr>
            </w:pPr>
            <w:r>
              <w:rPr>
                <w:rFonts w:ascii="微软雅黑" w:hAnsi="微软雅黑" w:eastAsia="微软雅黑"/>
                <w:b/>
                <w:color w:val="851321" w:themeColor="accent6" w:themeShade="80"/>
                <w:sz w:val="24"/>
                <w:szCs w:val="24"/>
              </w:rPr>
              <w:t>传授新知</w:t>
            </w:r>
          </w:p>
          <w:p w14:paraId="2D725B28">
            <w:pPr>
              <w:spacing w:line="360" w:lineRule="auto"/>
              <w:jc w:val="center"/>
              <w:rPr>
                <w:rFonts w:ascii="微软雅黑" w:hAnsi="微软雅黑" w:eastAsia="微软雅黑"/>
                <w:b/>
                <w:sz w:val="24"/>
                <w:szCs w:val="24"/>
              </w:rPr>
            </w:pPr>
            <w:r>
              <w:rPr>
                <w:rFonts w:ascii="Times New Roman" w:hAnsi="Times New Roman"/>
                <w:color w:val="851321" w:themeColor="accent6" w:themeShade="80"/>
                <w:szCs w:val="24"/>
              </w:rPr>
              <w:t>（30</w:t>
            </w:r>
            <w:r>
              <w:rPr>
                <w:rFonts w:hint="eastAsia" w:ascii="Times New Roman" w:hAnsi="Times New Roman"/>
                <w:color w:val="851321" w:themeColor="accent6" w:themeShade="80"/>
                <w:szCs w:val="24"/>
              </w:rPr>
              <w:t>min</w:t>
            </w:r>
            <w:r>
              <w:rPr>
                <w:rFonts w:ascii="Times New Roman" w:hAnsi="Times New Roman"/>
                <w:color w:val="851321" w:themeColor="accent6" w:themeShade="80"/>
                <w:szCs w:val="24"/>
              </w:rPr>
              <w:t>）</w:t>
            </w:r>
          </w:p>
        </w:tc>
        <w:tc>
          <w:tcPr>
            <w:tcW w:w="7050" w:type="dxa"/>
            <w:tcBorders>
              <w:top w:val="dashSmallGap" w:color="E54C5E" w:themeColor="accent6" w:sz="4" w:space="0"/>
              <w:left w:val="dashSmallGap" w:color="E54C5E" w:themeColor="accent6" w:sz="4" w:space="0"/>
              <w:bottom w:val="dashSmallGap" w:color="E54C5E" w:themeColor="accent6" w:sz="4" w:space="0"/>
              <w:right w:val="dashSmallGap" w:color="E54C5E" w:themeColor="accent6" w:sz="4" w:space="0"/>
            </w:tcBorders>
            <w:vAlign w:val="center"/>
          </w:tcPr>
          <w:p w14:paraId="463A424D">
            <w:pPr>
              <w:pStyle w:val="11"/>
              <w:keepNext/>
              <w:keepLines/>
              <w:spacing w:line="360" w:lineRule="auto"/>
              <w:rPr>
                <w:rFonts w:ascii="Times New Roman" w:hAnsi="Times New Roman" w:cs="Times New Roman"/>
                <w:b/>
                <w:color w:val="auto"/>
                <w:sz w:val="21"/>
                <w:szCs w:val="24"/>
                <w:lang w:val="en-US" w:eastAsia="zh-CN" w:bidi="ar-SA"/>
              </w:rPr>
            </w:pPr>
            <w:r>
              <w:rPr>
                <w:rFonts w:hint="eastAsia" w:ascii="Times New Roman" w:hAnsi="Times New Roman" w:cs="Times New Roman"/>
                <w:b/>
                <w:bCs/>
                <w:color w:val="auto"/>
                <w:sz w:val="21"/>
                <w:szCs w:val="22"/>
                <w:lang w:val="en-US" w:eastAsia="zh-CN" w:bidi="ar-SA"/>
              </w:rPr>
              <w:t>【教师】</w:t>
            </w:r>
            <w:r>
              <w:rPr>
                <w:rFonts w:hint="eastAsia" w:ascii="Times New Roman" w:hAnsi="Times New Roman" w:cs="Times New Roman"/>
                <w:b/>
                <w:bCs/>
                <w:color w:val="CC0066"/>
                <w:sz w:val="21"/>
                <w:szCs w:val="22"/>
                <w:lang w:val="en-US" w:eastAsia="zh-CN" w:bidi="ar-SA"/>
              </w:rPr>
              <w:t>讲解大学生常见的心理困惑及其调适</w:t>
            </w:r>
          </w:p>
          <w:p w14:paraId="581778E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一、人际交往问题</w:t>
            </w:r>
          </w:p>
          <w:p w14:paraId="6678291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人是“社会人”，归属与爱的需要是人的基本需要，良好的人际关系与社会支持是维护心理健康的必要条件。对于处在发展亲密关系关键时期的大学生而言，择友价值观和沟通技巧等方面的困扰成为大学生群体中最为常见的心理困扰。</w:t>
            </w:r>
          </w:p>
          <w:p w14:paraId="3374BEA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（一）真诚待人</w:t>
            </w:r>
          </w:p>
          <w:p w14:paraId="7449CD5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人性本善，善的行为才能激发他人对友好的共鸣。真诚待人，做到真诚地倾听和理解他人，真诚地帮助他人，真诚地袒露自己，真诚地向他人学习或求助，是帮助我们获得青睐的关键之举。</w:t>
            </w:r>
          </w:p>
          <w:p w14:paraId="73A59DE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（二）有效沟通</w:t>
            </w:r>
          </w:p>
          <w:p w14:paraId="2BC96C7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为了清楚地表达和传递自己的想法，准确地理解他人的心理活动，应该做到有效沟通，因此，我们要注意以下几点：</w:t>
            </w:r>
          </w:p>
          <w:p w14:paraId="5217A2A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第一，声调和身体语言决定沟通的效果，而不是文字；</w:t>
            </w:r>
          </w:p>
          <w:p w14:paraId="28478D7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第二，说得对不对没有意义，说得有效果才最重要；</w:t>
            </w:r>
          </w:p>
          <w:p w14:paraId="3E0DA71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第三，沟通的效果由对方决定，但是由自己控制，因为自己可以改变沟通的模式；</w:t>
            </w:r>
          </w:p>
          <w:p w14:paraId="17C0C9D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第四，重复没有效果的沟通模式，只会使两人的关系更坏，坚持没有效果的做法，只会使关系破裂；</w:t>
            </w:r>
          </w:p>
          <w:p w14:paraId="008F2F4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第五，在乎对方的感受，先照顾对方的情绪；</w:t>
            </w:r>
          </w:p>
          <w:p w14:paraId="25D48F9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第六，每个人都有在某时某地拒绝沟通的权利，不尊重这份权利，只会使关系加剧恶化；</w:t>
            </w:r>
          </w:p>
          <w:p w14:paraId="532F089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第七，一个人不能改变另一个人，他只能改变自己，或者做一些事情使对方想改变，或者为自己做些安排，使得无论对方有没有改变，都不会影响自己的成功和快乐；</w:t>
            </w:r>
          </w:p>
          <w:p w14:paraId="76F08AD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第八，任何事情，至少有三种不同的做法，任何情况，至少有三个解决的办法。</w:t>
            </w:r>
          </w:p>
          <w:p w14:paraId="09044A3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（三）做好自己</w:t>
            </w:r>
          </w:p>
          <w:p w14:paraId="502CE95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为了被对方接纳，改变自身一些不良的行为习惯是值得倡议的，但是为了争取更多人甚至所有人的青睐而故意迎合或扭曲自己的价值观念，则常常会得不偿失，弄巧成拙。真诚的、快乐的、有意义的人际交往无需看人下菜，做好自己才是王道。</w:t>
            </w:r>
          </w:p>
          <w:p w14:paraId="116618A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二、新生适应问题</w:t>
            </w:r>
          </w:p>
          <w:p w14:paraId="280BAEF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新的环境会给个体的心理和行为带来冲击，适应意味着包容和改变，涉及同化、顺化、平衡等复杂的心理过程，对于心理发展尚不成熟的大学新生，尤其在期望和现实之间存在落差或者缺乏相应准备的情况下，有可能经历一段时间的不适和困扰，这是正常的过渡期反应。若以此为契机，将其当做是进入大学门槛的第一道面试题，积极应对，则可帮助自身尽快融入大学生活，并获得一次跨越式的成长。</w:t>
            </w:r>
          </w:p>
          <w:p w14:paraId="3E66A76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（一）生活适应</w:t>
            </w:r>
          </w:p>
          <w:p w14:paraId="0B266BC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进入大学，可能是第一次离开家乡到一个遥远的城市，可能是第一次离开父母独自料理日常生活，可能是第一次和来自四面八方、性格各异的同学共宿一个寝室……这些生活转变集中地向大学新生扑来，如果缺乏独立生活和人际交往的能力，则很容易遭遇适应困难。面对这些冲击和挑战，大学新生应该保持一种真诚的态度去与人交流，保持一种好奇的态度去了解校园；自己不会的，就多求助于身边的同学，自己擅长的，就多帮助身边不会的同学；保持规律的作息，多参加一些集体活动充实自己的生活，同时与家人和老朋友分享自己的经历和心情，以加强自己的社会支持，帮助自己尽快适应新的生活环境。</w:t>
            </w:r>
          </w:p>
          <w:p w14:paraId="2618F40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（二）学习适应</w:t>
            </w:r>
          </w:p>
          <w:p w14:paraId="12C36E9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一方面，有的同学对自己的专业不满意。针对这种情况，可以先详细了解本专业的培养计划、课程设置、就业方向等，通过一段时间的认真学习来理性确定是否愿意继续本专业。如果实在与个人兴趣相悖，那么可以积极关注学校转专业的办法和规定，争取按要求通过考试调换到自己理想的专业。假如转专业受限，也依然可以找到替代办法，比如修读自己喜欢的双学位专业，并保证本专业顺利通过考试即可。总之，摆脱埋怨和堕落，积极寻找解决问题的办法，则一定可以帮助自己更好地适应。</w:t>
            </w:r>
          </w:p>
          <w:p w14:paraId="17B925B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另一方面，有的同学不适应大学较为松散、自由的管理，在没有压力和约束的情况下，学习的计划性和自主性降低，以致长时间或大面积荒废课程学习，面临考试挂科的窘境。有的同学甚至沉迷于网络游戏或社交娱乐。针对这种情况，可以充分利用图书馆丰富的资源，通过课外阅读带动专业学习；常和拥有良好学习习惯的同学在一起或请他们提示自己；通过修读双学位、参加培训班或参加职业资格考试来提升自己学习的动力等。</w:t>
            </w:r>
          </w:p>
          <w:p w14:paraId="6EE2B9B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（三）角色适应</w:t>
            </w:r>
          </w:p>
          <w:p w14:paraId="3EC699A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有的同学认为大学的人际关系比较复杂，很难找到像中学或者童年时期那样的亲密朋友，实际上，这是因为大学生扮演的角色更加多重化，人际接触的范围更加宽广。同一位同学，他可能既是你的室友，又与你同是班委，还参加了同一个社团，或者还要一同去参加某个比赛，其中有时可能是“队友”，有时可能是“对手”。另外，同一位同学，可能既要和室友保持和谐亲密的关系，又需要和社团内其他院系的同学频繁接触，还需要和老师经常交往，如此，就增加了个体在角色扮演过程中所要投入的精力。良好的角色适应应该以真诚态度与每一个人相处，乐于助人，并选择少数几个与自己志趣相投同学保持亲密的支持关系，并不强求每个人都喜欢我们或被我们喜欢。</w:t>
            </w:r>
          </w:p>
          <w:p w14:paraId="7DF5D4D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三、恋爱与性心理问题</w:t>
            </w:r>
          </w:p>
          <w:p w14:paraId="2B06713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英雄难过美人关”，这句话表面上是指窈窕淑女君子好逑，实际上更说明了爱情对一个人的考验是最为深刻的。爱情是一种特殊的人际交往，其中充满了更多的激情和亲密，同时也充满了更多的承诺和责任。一份健康的爱情能够激发恋爱双方内心最深处的善良和潜能，相反则可能互相伤害。大学生的爱情除了需要迎接恋爱交往本身的考验，还面临着心理成熟和时间协调等多个方面的挑战。</w:t>
            </w:r>
          </w:p>
          <w:p w14:paraId="0DB62CC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（一）有缘则相会</w:t>
            </w:r>
          </w:p>
          <w:p w14:paraId="206D240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如果要问“大学生是否可以谈恋爱”，发展心理学的研究提供了很好的答案，埃里克森指出，成年早期（18~25 岁）的发展任务主要是获得亲密感，避免孤独感，形成爱的品质。大学生正好处于这个年龄阶段，因而爱的萌动是身体和心理自然成熟的结果，当遇到两情相悦、互相欣赏的人，利用课余的时间发展恋爱关系是应该被支持的。但是，需要自我提醒的是，大学恋爱一定是要建立在相互尊重、欣赏的基础上的，盲目攀比、消除寂寞、自私占有等心态如果成为恋爱的初衷，最后必将伤害对方也伤害自己。大学生可以谈恋爱，但并非一定要谈恋爱。</w:t>
            </w:r>
          </w:p>
          <w:p w14:paraId="2A6E5F4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（二）在爱中成长</w:t>
            </w:r>
          </w:p>
          <w:p w14:paraId="314BD4E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有的同学因为恋爱耽误了学习，而有的同学却可以因为恋爱而相互促进学习；有的同学可以将大学美好的恋爱带入婚姻殿堂，而有的同学却需要频繁分手；有的同学在失恋后懊悔怨恨不已，而有的同学即使分手也能互相祝福。如果简单地认为恋爱就是表白自己的爱并获得对方的爱甚至性，那么当这些行为受挫时，就容易充满悔恨，甚至攻击对方或寻求替代补偿，或者在没有整理好情绪的状态下再次投入另外一段感情，继而重蹈覆辙，对爱失望。心理学认为，一段健康的、有价值的恋爱关系应该具有三个导向：一是使恋爱双方更加了解自己；二是使恋爱双方更加懂得如何去爱一个人；三是能够较为持久稳定并向婚姻的方向发展。大学生谈恋爱应努力追寻这些价值，通过恋爱更加了解自己的性格，了解自己喜欢和适合的恋人类型，懂得去关心和爱对方，学会更好地表达自己和与对方交流，培养自身的责任感等。只要在爱中获得了成长，即使因为各种客观原因而感情破裂，自己也不会怨天尤人或自我伤害，反而会珍藏这段美好的记忆，感激恋爱和恋爱中的他（她）。</w:t>
            </w:r>
          </w:p>
          <w:p w14:paraId="10C59DB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（三）尊重性的圣洁</w:t>
            </w:r>
          </w:p>
          <w:p w14:paraId="7BBD88A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有的同学在恋爱过程中经不起性的诱惑偷尝禁果，虽然这是身体本能冲动的驱使，并在短期内会获得满足感和亲密感，但从社会调查和心理辅导的实践来看，大学生婚前性行为普遍在后期给当事者带来强烈的心理冲击甚至情绪创伤。有的女生希望通过奉献身体来稳固感情，而男生“得到”之后可能对感情的投入反而减少。有的男生在好奇和懵懂的情况下与女生发生了性行为，之后却反复拷问和埋怨自己，或者因为缺乏足够的心理能量来承担责任而突然回避和冷落女生，致使爱情在痛苦中破裂。大学生正处在成年早期，良好的爱的品质、坚强的责任心和稳定的价值观尚未完全形成，过早的性接触往往会给恋爱双方留下心理阴影，破坏纯洁稳定的恋爱关系，有的甚至在婚后出现爱情观的扭曲。因此，尊重性的圣洁，避免过早的性接触，无论对于感情的维持还是人格的发展都具有积极的意义。因为，任何真爱一个女生的男生都不会因为女生拒绝婚前性接触而变得不爱她，相反，会更加信任和珍惜这样的女生。当然，对于情至深处已经发生性关系的情侣而言，重要的不是悔不当初，而是应坦然接纳自己，珍惜彼此，用心经营一份激情、亲密与承诺兼备的长久的爱情。</w:t>
            </w:r>
          </w:p>
          <w:p w14:paraId="47B5F68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四、自我同一性问题</w:t>
            </w:r>
          </w:p>
          <w:p w14:paraId="2FF8153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Times New Roman" w:hAnsi="Times New Roman" w:cs="Times New Roman"/>
                <w:color w:val="auto"/>
                <w:sz w:val="21"/>
                <w:szCs w:val="22"/>
                <w:lang w:val="en-US" w:eastAsia="zh-CN" w:bidi="ar-SA"/>
              </w:rPr>
            </w:pPr>
            <w:r>
              <w:rPr>
                <w:rFonts w:ascii="Times New Roman" w:hAnsi="Times New Roman" w:eastAsia="宋体" w:cs="Times New Roman"/>
                <w:color w:val="auto"/>
                <w:kern w:val="2"/>
                <w:sz w:val="21"/>
                <w:szCs w:val="22"/>
                <w:lang w:bidi="ar-SA"/>
              </w:rPr>
              <w:t>埃里克森认为青春期主要任务是培养自我同一性，但大学生常因性格认同和自我接纳问题困扰至成年早期。这可能由于他们接触到更多变的社会信息和同伴影响，导致价值观和性格认同较晚形成。性格认同和自我接纳对心理健康至关重要，也是建立和谐人际关系的核心动力。只有自爱的人才能爱他人和环境，享受成长。</w:t>
            </w:r>
          </w:p>
          <w:p w14:paraId="66266C5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（一）气质特点无好坏</w:t>
            </w:r>
          </w:p>
          <w:p w14:paraId="413285A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根据内向和外向的程度、情绪的兴奋和抑制水平，心理学把人的气质分为多血质、胆汁质、黏液质、抑郁质四大类型。其中多血质表现为外向、活泼、善于交际、情绪外露、体验不深刻等；胆汁质表现为外向、冲动、反应迅速、情绪激烈等；黏液质表现为内向、情绪稳定、充满耐心等；抑郁质表现为内向、言行缓慢、情绪丰富、优柔寡断等。</w:t>
            </w:r>
          </w:p>
          <w:p w14:paraId="0B493C5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有的人把交往受挫和不自信等一系列问题归咎于性格内向，于是讨厌内向，希望能变成一个外向活泼的人。实际上，气质中的内外向极大程度上是天生的，而且没有好坏之分，内向和外向都可以受到别人的欢迎，都有机会成为“好性格”。历史上和生活中有很多德高望重、辉煌成功的人士就是性格内向者。如果你是一位性格内向者，正为性格内向而忧愁时，不妨全面、客观、仔细地观察一下外向者的生活，你会发现，外向者也许正为性格外向而烦恼。成功和受欢迎的关键在于是否了解自己、悦纳自己，扬长避短，发挥优势，让自己的性格每天变美一厘米。</w:t>
            </w:r>
          </w:p>
          <w:p w14:paraId="68F18C7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（二）在自卑中寻求超越</w:t>
            </w:r>
          </w:p>
          <w:p w14:paraId="2E12CCD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一天，心理学教授去上课，他问台下一百多名学生：“认为自己从小到大从来没有任何一个方面让自己自卑过的同学请举手。”奇怪的是，只有两位同学举起了手，而且埋头思考了半分钟又放下了。自卑看起来是一个负性的东西，是让我们封闭和退缩的理由。实际上，自卑普遍存在于每一个人身上，只是表现的形式不一样，有的人孤僻疏离，有的人虚荣掩饰，有的人沉浸过往，还有的人奋起改变。奥地利心理学家阿德勒（Alfred Adler）在《自卑与超越》中指出，“自卑感不是某些人的专有感觉，每个人都或多或少地会感到自卑，自卑感深埋于人类文明文化之中，自卑情结甚至构成了人类文明和日常生活的基础。</w:t>
            </w:r>
          </w:p>
          <w:p w14:paraId="3F6DCC9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自卑既是一种能量的限制，又蕴涵着巨大的能量。有些人被自卑限制终身，有些人却因为自卑感而激发出巨大的潜能，对社会作出了不可估量的贡献”。因此，自卑本身不是病态，如何认识、克服和超越自卑感，能否借助自卑感强大的推动力来获取积极的补偿和升华，才是决定性格与人生的关键所在。有的人因为从小体弱多病而不断钻研，最后成为著名的医学专家；也有的人因为家境贫困而发愤图强，逐渐变成资产庞大的企业家……</w:t>
            </w:r>
          </w:p>
          <w:p w14:paraId="683CB60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（三）找到自己的亮点</w:t>
            </w:r>
          </w:p>
          <w:p w14:paraId="62A26E7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人的性格就好像硬币的两面，总有优势的地方和不足的地方。如果我们仅仅纠结于自身的缺点，也许经过很长时间这些缺点会有所改正，但常常感受到的是对自己的不满和改变的艰难甚至失败。倘若我们多关注自身的优点，并且通过行动实现其价值，那么我们收获的是成功、快乐和自我悦纳。很多人有一颗追求美的心，但却缺少一双发现美的眼睛，亚兵每年都获得一等奖奖学金，但他却说“成绩好有什么用”，殊不知好的成绩同样是让很多人艳羡的焦点。生活中，要常常鼓励自己：找到我的亮点，让自己发光，才能照亮我追求完善的路。</w:t>
            </w:r>
          </w:p>
          <w:p w14:paraId="136B7DF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（四）做适合自己的“整形”</w:t>
            </w:r>
          </w:p>
          <w:p w14:paraId="27DB4F7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除了良好的自我接纳，当然也需要努力去发展和完善自己，改正生活中的一些小毛病，学习一些他人的成功经验，培养一些良好的行为习惯等。但是，所有的改变应该是适合自己的，而非盲目的、从众的。亚兵本身并不喜欢白色的运动鞋，而且白色运动鞋与他有点黝黑的皮肤不太相称，并且他喜欢踢足球极易弄脏，但是他却追随同学买了好几双白色的运动鞋；亚兵并不喜欢蓄胡须，而且长长的胡须耷拉在他的脸上夺去了他大半的青春风采，他只是希望胡须能够让他更加自信，但实际上胡须无法给予他能量。因此，在追求自我完善的过程中，要切忌盲目攀比和追随，应选择适合自己的方向去改变，做适合自己的“整形”。</w:t>
            </w:r>
          </w:p>
          <w:p w14:paraId="743A144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五、职业发展问题</w:t>
            </w:r>
          </w:p>
          <w:p w14:paraId="0C6BACA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从小到大，每个人都有过很多梦想，最终哪些梦想能成为现实、哪些梦想沦为幻影取决于我们的选择和坚持。有人指出，大学生在毕业前夕由职业选择引发的状态和男女婚前的心理状态比较相似，充满紧张和焦虑，职业发展问题是大学毕业生中十分常见的一类心理困扰。</w:t>
            </w:r>
          </w:p>
          <w:p w14:paraId="2A14C55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（一）谁偷了我的决策力</w:t>
            </w:r>
          </w:p>
          <w:p w14:paraId="172B038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如果说犹豫包含一定的性格成分，那么茫然则必定是因为缺乏自我了解、具体规划和充分准备。“少壮不努力，老大徒伤悲”似乎可以改写为“大学不努力，毕业徒伤悲”。因此，大学生应该努力通过各种途径加强自我了解，包括性格特点、优势与不足、兴趣与需要等；提前做好个人规划，包括职业生涯规划、日常生活规划等；同时据此充分准备，丰富自己的生活，做一个多彩的人。优秀毕业生的成功经验表明，以续集的方式写一本个人传记、参加 1~2 个最感兴趣的学生社团、接受一些心理测试、选修或自学职业生涯规划课程、经常参加主流学术讲座、和自己内心欣赏的人多相处等，有助于帮助我们收获一段精彩的大学生活。巧妇难为无米之炊，不打无准备之仗，充实的内心才能够让我们在决策时刚毅果断。</w:t>
            </w:r>
          </w:p>
          <w:p w14:paraId="4590ECF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（二）考研不减就业压力</w:t>
            </w:r>
          </w:p>
          <w:p w14:paraId="2F83155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Cs w:val="24"/>
              </w:rPr>
            </w:pPr>
            <w:r>
              <w:rPr>
                <w:rFonts w:hint="eastAsia" w:ascii="Times New Roman" w:hAnsi="Times New Roman" w:cs="Times New Roman"/>
                <w:color w:val="auto"/>
                <w:sz w:val="21"/>
                <w:szCs w:val="22"/>
                <w:lang w:val="en-US" w:eastAsia="zh-CN" w:bidi="ar-SA"/>
              </w:rPr>
              <w:t>2022 年，全国有 457 万学生参加硕士研究生入学考试，并且有逐年递增趋势，究竟是求知心切还是就业压力惹的祸？研究生教育在拓展理论视野、深化专业知识、提升研究和应用水平方面具有重要的意义，但并不代表研究生的就业率一定高于大学生，在小范围内甚至还出现研究生的就业情况不如某些大学生。这是因为，研究生对就业的期望值普遍高于大学生，但个人的综合素质和实践能力却没有得到和文凭同步的提升，导致在市场竞争激烈的应聘过程中失利。当然，并非不鼓励大学生考研，而是有一点必须在加入考研大军之前认识清楚：考研并非回避就业压力的苦口良药，不能因为害怕就业而转入考研，大学生应该直面就业压力并争取从中脱颖而出，或者在读研期间不断提升自己的综合竞争力。</w:t>
            </w:r>
          </w:p>
          <w:p w14:paraId="1974BCD7">
            <w:pPr>
              <w:spacing w:line="360" w:lineRule="auto"/>
              <w:rPr>
                <w:rFonts w:hint="eastAsia" w:ascii="Times New Roman" w:hAnsi="Times New Roman" w:cs="Times New Roman"/>
                <w:b/>
                <w:sz w:val="21"/>
                <w:szCs w:val="24"/>
                <w:lang w:val="en-US" w:eastAsia="zh-CN" w:bidi="ar-SA"/>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szCs w:val="24"/>
              </w:rPr>
              <w:t>讨论。</w:t>
            </w:r>
          </w:p>
        </w:tc>
        <w:tc>
          <w:tcPr>
            <w:tcW w:w="1617" w:type="dxa"/>
            <w:tcBorders>
              <w:top w:val="dashSmallGap" w:color="E54C5E" w:themeColor="accent6" w:sz="4" w:space="0"/>
              <w:left w:val="dashSmallGap" w:color="E54C5E" w:themeColor="accent6" w:sz="4" w:space="0"/>
              <w:bottom w:val="dashSmallGap" w:color="E54C5E" w:themeColor="accent6" w:sz="4" w:space="0"/>
            </w:tcBorders>
            <w:shd w:val="clear" w:color="auto" w:fill="auto"/>
            <w:vAlign w:val="center"/>
          </w:tcPr>
          <w:p w14:paraId="58794378">
            <w:pPr>
              <w:spacing w:line="360" w:lineRule="auto"/>
              <w:jc w:val="both"/>
              <w:rPr>
                <w:rFonts w:ascii="Times New Roman" w:hAnsi="Times New Roman"/>
                <w:b/>
                <w:szCs w:val="24"/>
              </w:rPr>
            </w:pPr>
            <w:r>
              <w:rPr>
                <w:rFonts w:hint="eastAsia" w:ascii="Times New Roman Bold" w:hAnsi="Times New Roman Bold"/>
                <w:b w:val="0"/>
                <w:bCs/>
                <w:spacing w:val="6"/>
                <w:sz w:val="21"/>
                <w:szCs w:val="24"/>
                <w:lang w:eastAsia="zh-CN"/>
              </w:rPr>
              <w:t>讲述大学生常见的心理困惑及其调适</w:t>
            </w:r>
            <w:r>
              <w:rPr>
                <w:rFonts w:hint="eastAsia" w:ascii="Times New Roman Bold" w:hAnsi="Times New Roman Bold"/>
                <w:b w:val="0"/>
                <w:bCs/>
                <w:spacing w:val="6"/>
                <w:sz w:val="21"/>
                <w:szCs w:val="24"/>
              </w:rPr>
              <w:t>，组织学生讨论</w:t>
            </w:r>
            <w:r>
              <w:rPr>
                <w:rFonts w:hint="eastAsia" w:ascii="Times New Roman Bold" w:hAnsi="Times New Roman Bold"/>
                <w:b w:val="0"/>
                <w:bCs/>
                <w:spacing w:val="6"/>
                <w:sz w:val="21"/>
                <w:szCs w:val="24"/>
                <w:lang w:eastAsia="zh-CN"/>
              </w:rPr>
              <w:t>心理含义</w:t>
            </w:r>
            <w:r>
              <w:rPr>
                <w:rFonts w:hint="eastAsia" w:ascii="Times New Roman Bold" w:hAnsi="Times New Roman Bold"/>
                <w:b w:val="0"/>
                <w:bCs/>
                <w:spacing w:val="6"/>
                <w:sz w:val="21"/>
                <w:szCs w:val="24"/>
              </w:rPr>
              <w:t>，了解</w:t>
            </w:r>
            <w:r>
              <w:rPr>
                <w:rFonts w:hint="eastAsia" w:ascii="Times New Roman Bold" w:hAnsi="Times New Roman Bold"/>
                <w:b w:val="0"/>
                <w:bCs/>
                <w:spacing w:val="6"/>
                <w:sz w:val="21"/>
                <w:szCs w:val="24"/>
                <w:lang w:eastAsia="zh-CN"/>
              </w:rPr>
              <w:t>心理学</w:t>
            </w:r>
            <w:r>
              <w:rPr>
                <w:rFonts w:hint="eastAsia" w:ascii="Times New Roman Bold" w:hAnsi="Times New Roman Bold"/>
                <w:b w:val="0"/>
                <w:bCs/>
                <w:spacing w:val="6"/>
                <w:sz w:val="21"/>
                <w:szCs w:val="24"/>
              </w:rPr>
              <w:t>，进一步增强学生对</w:t>
            </w:r>
            <w:r>
              <w:rPr>
                <w:rFonts w:hint="eastAsia" w:ascii="Times New Roman Bold" w:hAnsi="Times New Roman Bold"/>
                <w:b w:val="0"/>
                <w:bCs/>
                <w:spacing w:val="6"/>
                <w:sz w:val="21"/>
                <w:szCs w:val="24"/>
                <w:lang w:eastAsia="zh-CN"/>
              </w:rPr>
              <w:t>心理学的认知</w:t>
            </w:r>
            <w:r>
              <w:rPr>
                <w:rFonts w:hint="eastAsia" w:ascii="Times New Roman Bold" w:hAnsi="Times New Roman Bold"/>
                <w:b w:val="0"/>
                <w:bCs/>
                <w:spacing w:val="6"/>
                <w:sz w:val="21"/>
                <w:szCs w:val="24"/>
              </w:rPr>
              <w:t>。</w:t>
            </w:r>
          </w:p>
        </w:tc>
      </w:tr>
      <w:tr w14:paraId="37E74533">
        <w:trPr>
          <w:trHeight w:val="567" w:hRule="atLeast"/>
          <w:jc w:val="center"/>
        </w:trPr>
        <w:tc>
          <w:tcPr>
            <w:tcW w:w="1538" w:type="dxa"/>
            <w:tcBorders>
              <w:top w:val="dashSmallGap" w:color="E54C5E" w:themeColor="accent6" w:sz="4" w:space="0"/>
              <w:bottom w:val="dashSmallGap" w:color="4874CB" w:themeColor="accent1" w:sz="4" w:space="0"/>
              <w:right w:val="dashSmallGap" w:color="F4B382" w:themeColor="accent2" w:themeTint="99" w:sz="4" w:space="0"/>
            </w:tcBorders>
            <w:shd w:val="clear" w:color="auto" w:fill="FBE6D6" w:themeFill="accent2" w:themeFillTint="32"/>
            <w:vAlign w:val="center"/>
          </w:tcPr>
          <w:p w14:paraId="74CE112B">
            <w:pPr>
              <w:spacing w:line="360" w:lineRule="auto"/>
              <w:jc w:val="center"/>
              <w:rPr>
                <w:rFonts w:ascii="微软雅黑" w:hAnsi="微软雅黑" w:eastAsia="微软雅黑"/>
                <w:b/>
                <w:color w:val="843F0B" w:themeColor="accent2" w:themeShade="80"/>
                <w:sz w:val="24"/>
                <w:szCs w:val="24"/>
              </w:rPr>
            </w:pPr>
            <w:r>
              <w:rPr>
                <w:rFonts w:hint="eastAsia" w:ascii="微软雅黑" w:hAnsi="微软雅黑" w:eastAsia="微软雅黑"/>
                <w:b/>
                <w:color w:val="843F0B" w:themeColor="accent2" w:themeShade="80"/>
                <w:sz w:val="24"/>
                <w:szCs w:val="24"/>
              </w:rPr>
              <w:t>继续探索</w:t>
            </w:r>
          </w:p>
          <w:p w14:paraId="745A2807">
            <w:pPr>
              <w:spacing w:line="360" w:lineRule="auto"/>
              <w:jc w:val="center"/>
              <w:rPr>
                <w:rFonts w:ascii="Times New Roman" w:hAnsi="Times New Roman"/>
              </w:rPr>
            </w:pPr>
            <w:r>
              <w:rPr>
                <w:rFonts w:ascii="Times New Roman" w:hAnsi="Times New Roman"/>
                <w:color w:val="843F0B" w:themeColor="accent2" w:themeShade="80"/>
                <w:szCs w:val="24"/>
              </w:rPr>
              <w:t>（</w:t>
            </w:r>
            <w:r>
              <w:rPr>
                <w:rFonts w:hint="eastAsia" w:ascii="Times New Roman" w:hAnsi="Times New Roman"/>
                <w:color w:val="843F0B" w:themeColor="accent2" w:themeShade="80"/>
                <w:szCs w:val="24"/>
                <w:lang w:val="en-US" w:eastAsia="zh-CN"/>
              </w:rPr>
              <w:t>40</w:t>
            </w:r>
            <w:r>
              <w:rPr>
                <w:rFonts w:hint="eastAsia" w:ascii="Times New Roman" w:hAnsi="Times New Roman"/>
                <w:color w:val="843F0B" w:themeColor="accent2" w:themeShade="80"/>
                <w:szCs w:val="24"/>
              </w:rPr>
              <w:t>min</w:t>
            </w:r>
            <w:r>
              <w:rPr>
                <w:rFonts w:ascii="Times New Roman" w:hAnsi="Times New Roman"/>
                <w:color w:val="843F0B" w:themeColor="accent2" w:themeShade="80"/>
                <w:szCs w:val="24"/>
              </w:rPr>
              <w:t>）</w:t>
            </w:r>
          </w:p>
        </w:tc>
        <w:tc>
          <w:tcPr>
            <w:tcW w:w="7050" w:type="dxa"/>
            <w:tcBorders>
              <w:top w:val="dashSmallGap" w:color="E54C5E" w:themeColor="accent6" w:sz="4" w:space="0"/>
              <w:left w:val="dashSmallGap" w:color="F4B382" w:themeColor="accent2" w:themeTint="99" w:sz="4" w:space="0"/>
              <w:bottom w:val="dashSmallGap" w:color="4874CB" w:themeColor="accent1" w:sz="4" w:space="0"/>
              <w:right w:val="dashSmallGap" w:color="F4B382" w:themeColor="accent2" w:themeTint="99" w:sz="4" w:space="0"/>
            </w:tcBorders>
            <w:vAlign w:val="center"/>
          </w:tcPr>
          <w:p w14:paraId="3D71E32C">
            <w:pPr>
              <w:widowControl/>
              <w:spacing w:line="360" w:lineRule="auto"/>
              <w:rPr>
                <w:rFonts w:hint="eastAsia" w:ascii="Times New Roman" w:hAnsi="Times New Roman" w:eastAsia="宋体"/>
                <w:lang w:eastAsia="zh-C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lang w:val="en-US" w:eastAsia="zh-CN"/>
              </w:rPr>
              <w:t>讲解大学生常见的心理疾病及其应对</w:t>
            </w:r>
          </w:p>
          <w:p w14:paraId="04E1C37B">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一、神经症</w:t>
            </w:r>
          </w:p>
          <w:p w14:paraId="03643426">
            <w:pPr>
              <w:widowControl/>
              <w:spacing w:line="360" w:lineRule="auto"/>
              <w:ind w:left="-19" w:leftChars="-9" w:firstLine="438" w:firstLineChars="209"/>
              <w:rPr>
                <w:rFonts w:hint="eastAsia" w:ascii="Times New Roman" w:hAnsi="Times New Roman"/>
              </w:rPr>
            </w:pPr>
            <w:r>
              <w:rPr>
                <w:rFonts w:hint="eastAsia" w:ascii="Times New Roman" w:hAnsi="Times New Roman"/>
              </w:rPr>
              <w:t>神经症（neurosis），旧称神经官能症，在生活中被误称为“神经病”，是一组非精神病性功能性障碍，主要表现为持久的心理冲突，病人觉察到或体验到这种冲突并因之而深感痛苦且妨碍心理功能或社会功能，但没有任何可证实的器质性病理基础。神经症具有以下几个共同特征：</w:t>
            </w:r>
          </w:p>
          <w:p w14:paraId="141EDB96">
            <w:pPr>
              <w:widowControl/>
              <w:spacing w:line="360" w:lineRule="auto"/>
              <w:ind w:left="-19" w:leftChars="-9" w:firstLine="438" w:firstLineChars="209"/>
              <w:rPr>
                <w:rFonts w:hint="eastAsia" w:ascii="Times New Roman" w:hAnsi="Times New Roman"/>
              </w:rPr>
            </w:pPr>
            <w:r>
              <w:rPr>
                <w:rFonts w:hint="eastAsia" w:ascii="Times New Roman" w:hAnsi="Times New Roman"/>
              </w:rPr>
              <w:t>第一，心理冲突。神经症病人意识到自己处于一种无力自拔的自相矛盾的心理状态，通俗地讲就是自己总是跟自己过不去，自己折磨自己，病人知道这种心理是不正常的或是病态的，但是不能解脱。</w:t>
            </w:r>
          </w:p>
          <w:p w14:paraId="5AF65AC2">
            <w:pPr>
              <w:widowControl/>
              <w:spacing w:line="360" w:lineRule="auto"/>
              <w:ind w:left="-19" w:leftChars="-9" w:firstLine="438" w:firstLineChars="209"/>
              <w:rPr>
                <w:rFonts w:hint="eastAsia" w:ascii="Times New Roman" w:hAnsi="Times New Roman"/>
              </w:rPr>
            </w:pPr>
            <w:r>
              <w:rPr>
                <w:rFonts w:hint="eastAsia" w:ascii="Times New Roman" w:hAnsi="Times New Roman"/>
              </w:rPr>
              <w:t>第二，精神痛苦。神经症是一种痛苦的精神障碍，喜欢诉苦是神经症病人普遍而突出的表现之一，一般自知力完整，有求助意愿。</w:t>
            </w:r>
          </w:p>
          <w:p w14:paraId="652C1D14">
            <w:pPr>
              <w:widowControl/>
              <w:spacing w:line="360" w:lineRule="auto"/>
              <w:ind w:left="-19" w:leftChars="-9" w:firstLine="438" w:firstLineChars="209"/>
              <w:rPr>
                <w:rFonts w:hint="eastAsia" w:ascii="Times New Roman" w:hAnsi="Times New Roman"/>
              </w:rPr>
            </w:pPr>
            <w:r>
              <w:rPr>
                <w:rFonts w:hint="eastAsia" w:ascii="Times New Roman" w:hAnsi="Times New Roman"/>
              </w:rPr>
              <w:t>第三，比较持久。神经症是一种持久性的精神障碍，不同于各种短暂的精神障碍。</w:t>
            </w:r>
          </w:p>
          <w:p w14:paraId="3A575CE2">
            <w:pPr>
              <w:widowControl/>
              <w:spacing w:line="360" w:lineRule="auto"/>
              <w:ind w:left="-19" w:leftChars="-9" w:firstLine="438" w:firstLineChars="209"/>
              <w:rPr>
                <w:rFonts w:hint="eastAsia" w:ascii="Times New Roman" w:hAnsi="Times New Roman"/>
              </w:rPr>
            </w:pPr>
            <w:r>
              <w:rPr>
                <w:rFonts w:hint="eastAsia" w:ascii="Times New Roman" w:hAnsi="Times New Roman"/>
              </w:rPr>
              <w:t>第四，社会心理功能受损。神经症性心理冲突中的两个对立面互相强化，形成恶性循环，日益严重地妨碍着病人的心理功能或社会功能。</w:t>
            </w:r>
          </w:p>
          <w:p w14:paraId="704A5038">
            <w:pPr>
              <w:widowControl/>
              <w:spacing w:line="360" w:lineRule="auto"/>
              <w:ind w:left="-19" w:leftChars="-9" w:firstLine="438" w:firstLineChars="209"/>
              <w:rPr>
                <w:rFonts w:hint="eastAsia" w:ascii="Times New Roman" w:hAnsi="Times New Roman"/>
              </w:rPr>
            </w:pPr>
            <w:r>
              <w:rPr>
                <w:rFonts w:hint="eastAsia" w:ascii="Times New Roman" w:hAnsi="Times New Roman"/>
              </w:rPr>
              <w:t>第五，心因性。神经症是一组心因性障碍，人格因素、心理社会因素是主要致病因素，患者虽然体诉繁多，但却没有相应的躯体疾病与之相联系。</w:t>
            </w:r>
          </w:p>
          <w:p w14:paraId="04BE8A80">
            <w:pPr>
              <w:widowControl/>
              <w:spacing w:line="360" w:lineRule="auto"/>
              <w:ind w:left="-19" w:leftChars="-9" w:firstLine="438" w:firstLineChars="209"/>
              <w:rPr>
                <w:rFonts w:hint="eastAsia" w:ascii="Times New Roman" w:hAnsi="Times New Roman"/>
              </w:rPr>
            </w:pPr>
            <w:r>
              <w:rPr>
                <w:rFonts w:hint="eastAsia" w:ascii="Times New Roman" w:hAnsi="Times New Roman"/>
              </w:rPr>
              <w:t>神经症是大学生中最多见的一类心理疾病，有关资料显示，大学生群体比整个社会群体神经症的发病率高出 4 倍，并有加重的趋势。依据其临床表现，神经症可以区分为以下几类：</w:t>
            </w:r>
          </w:p>
          <w:p w14:paraId="1F7033CE">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（一）恐惧症</w:t>
            </w:r>
          </w:p>
          <w:p w14:paraId="1CA35D35">
            <w:pPr>
              <w:widowControl/>
              <w:spacing w:line="360" w:lineRule="auto"/>
              <w:ind w:left="-19" w:leftChars="-9" w:firstLine="438" w:firstLineChars="209"/>
              <w:rPr>
                <w:rFonts w:hint="eastAsia" w:ascii="Times New Roman" w:hAnsi="Times New Roman"/>
              </w:rPr>
            </w:pPr>
            <w:r>
              <w:rPr>
                <w:rFonts w:hint="eastAsia" w:ascii="Times New Roman" w:hAnsi="Times New Roman"/>
              </w:rPr>
              <w:t>恐惧症（phobia）是指对某一特定的物体、活动或者处境所产生的持续紧张、毫无理由的惧怕，从而出现回避反应，患者也明知这种反应不合理，但在相同场合或情境中仍会反复出现，并难以自控。恐惧症的临床表现主要有三种类型：社交恐惧、场所恐惧、特定恐惧。在青年大学生中以社交恐惧最为常见，发病率约占总人口的 2.6%，女性患者多于男性。</w:t>
            </w:r>
          </w:p>
          <w:p w14:paraId="19456BA3">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1. 症状表现</w:t>
            </w:r>
          </w:p>
          <w:p w14:paraId="01FC5350">
            <w:pPr>
              <w:widowControl/>
              <w:spacing w:line="360" w:lineRule="auto"/>
              <w:ind w:left="-19" w:leftChars="-9" w:firstLine="438" w:firstLineChars="209"/>
              <w:rPr>
                <w:rFonts w:hint="eastAsia" w:ascii="Times New Roman" w:hAnsi="Times New Roman"/>
              </w:rPr>
            </w:pPr>
            <w:r>
              <w:rPr>
                <w:rFonts w:hint="eastAsia" w:ascii="Times New Roman" w:hAnsi="Times New Roman"/>
              </w:rPr>
              <w:t>恐惧被别人注视；恐惧自己会做出丢脸的言谈举止；怕自己在别人面前张口结舌；怕吃饭时由于有人注视而丑态百出；恐惧得手发抖以致无法写字；害怕在公共场所呕吐；回避见人，尽量不去所有公众场合；极度焦虑，出现面红、心慌、震颤、出汗、恶心、尿急等躯体症状；在公共厕所里因恐惧而解不出小便等。</w:t>
            </w:r>
          </w:p>
          <w:p w14:paraId="41CB2C64">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2. 主要病因</w:t>
            </w:r>
          </w:p>
          <w:p w14:paraId="608054F5">
            <w:pPr>
              <w:widowControl/>
              <w:spacing w:line="360" w:lineRule="auto"/>
              <w:ind w:left="-19" w:leftChars="-9" w:firstLine="438" w:firstLineChars="209"/>
              <w:rPr>
                <w:rFonts w:hint="eastAsia" w:ascii="Times New Roman" w:hAnsi="Times New Roman"/>
              </w:rPr>
            </w:pPr>
            <w:r>
              <w:rPr>
                <w:rFonts w:hint="eastAsia" w:ascii="Times New Roman" w:hAnsi="Times New Roman"/>
              </w:rPr>
              <w:t>（1）生理原因：美国著名精神病学教授戴维西汉先生指出，社交恐惧症的发病是因为人体内一种叫“5- 羟色胺”的化学物质失调所致。这种物质负责向大脑神经细胞传递信息，这种物质过多或过少都可引起人们的恐惧情绪。</w:t>
            </w:r>
          </w:p>
          <w:p w14:paraId="3D89E2F7">
            <w:pPr>
              <w:widowControl/>
              <w:spacing w:line="360" w:lineRule="auto"/>
              <w:ind w:left="-19" w:leftChars="-9" w:firstLine="438" w:firstLineChars="209"/>
              <w:rPr>
                <w:rFonts w:hint="eastAsia" w:ascii="Times New Roman" w:hAnsi="Times New Roman"/>
              </w:rPr>
            </w:pPr>
            <w:r>
              <w:rPr>
                <w:rFonts w:hint="eastAsia" w:ascii="Times New Roman" w:hAnsi="Times New Roman"/>
              </w:rPr>
              <w:t>（2）心理原因：社交恐惧症患者一般自尊心较强，害怕被别人拒绝，或者对自己的外貌没有信心，有完美主义倾向，过分害怕事情的负面结果。</w:t>
            </w:r>
          </w:p>
          <w:p w14:paraId="36C70F30">
            <w:pPr>
              <w:widowControl/>
              <w:spacing w:line="360" w:lineRule="auto"/>
              <w:ind w:left="-19" w:leftChars="-9" w:firstLine="438" w:firstLineChars="209"/>
              <w:rPr>
                <w:rFonts w:hint="eastAsia" w:ascii="Times New Roman" w:hAnsi="Times New Roman"/>
              </w:rPr>
            </w:pPr>
            <w:r>
              <w:rPr>
                <w:rFonts w:hint="eastAsia" w:ascii="Times New Roman" w:hAnsi="Times New Roman"/>
              </w:rPr>
              <w:t>（3）家庭和社会原因：家庭搬迁或转学过于频繁、从小受家长约束而很少与人交往或本身所处的社会环境较为恶劣等都容易导致社交恐惧。</w:t>
            </w:r>
          </w:p>
          <w:p w14:paraId="10FD75EA">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3. 应对措施</w:t>
            </w:r>
          </w:p>
          <w:p w14:paraId="1611AA4E">
            <w:pPr>
              <w:widowControl/>
              <w:spacing w:line="360" w:lineRule="auto"/>
              <w:ind w:left="-19" w:leftChars="-9" w:firstLine="438" w:firstLineChars="209"/>
              <w:rPr>
                <w:rFonts w:hint="eastAsia" w:ascii="Times New Roman" w:hAnsi="Times New Roman"/>
              </w:rPr>
            </w:pPr>
            <w:r>
              <w:rPr>
                <w:rFonts w:hint="eastAsia" w:ascii="Times New Roman" w:hAnsi="Times New Roman"/>
              </w:rPr>
              <w:t>（1）正确解读社交恐惧：恐惧是人类最原始的情绪体验之一，普遍存在于每个人身上，恐惧甚至可以认为是个体潜意识中的快感体验。著名心理咨询专家李子勋在分析社交恐惧时说：“社交恐惧看起来是对某些人的排斥，实质上是朝内的，是自己对自己的排斥。感觉自己在他人眼里不完美、可笑、滑稽，甚至从别人眼里读出自己内心的可耻、卑劣、病态，把他人正常的行为、声音、表情看成是对自己的厌恶、藐视。站在自己对面的人毫无察觉，社交的真正意义也消失了，他客观上成为自我的一面照妖镜。一个人陷入对自己的排斥几乎是一种无解的心理困境，这种困境会激发一种强烈的神经症冲突，伴随明显的紧张、恐惧、脸红、出汗、激越，甚至逃跑。对自己的不喜欢又怎么逃得掉呢？有社交恐惧的人内心都有那么一个超然、完美、权威的我，它用苛刻的‘必须’来控制自己，当社交中稍有不完美，一种强烈的自我否定、贬低、谴责油然而生。一般聪明的、敏感的、有些神经质的人容易陷入这样的困境。”</w:t>
            </w:r>
          </w:p>
          <w:p w14:paraId="2C80A31F">
            <w:pPr>
              <w:widowControl/>
              <w:spacing w:line="360" w:lineRule="auto"/>
              <w:ind w:left="-19" w:leftChars="-9" w:firstLine="438" w:firstLineChars="209"/>
              <w:rPr>
                <w:rFonts w:hint="eastAsia" w:ascii="Times New Roman" w:hAnsi="Times New Roman"/>
              </w:rPr>
            </w:pPr>
            <w:r>
              <w:rPr>
                <w:rFonts w:hint="eastAsia" w:ascii="Times New Roman" w:hAnsi="Times New Roman"/>
              </w:rPr>
              <w:t>自我如何解读社交恐惧很重要。如果你认为你的社交恐惧是一种病，那么你会得到沮丧、病态行为和失败；如果你解读为我不爱社交，那么你会得到时间、知识和内心宁静。社交是要花精力的，哲学、政治、文学、科学上有成就的人，多半是不喜欢社交的一群人。坦诚地接纳自己，承认自己不善社交，允许自己不完善甚至甘愿自己有些另类、讨人嫌，是根治社交恐惧的良方。</w:t>
            </w:r>
          </w:p>
          <w:p w14:paraId="35707E02">
            <w:pPr>
              <w:widowControl/>
              <w:spacing w:line="360" w:lineRule="auto"/>
              <w:ind w:left="-19" w:leftChars="-9" w:firstLine="438" w:firstLineChars="209"/>
              <w:rPr>
                <w:rFonts w:hint="eastAsia" w:ascii="Times New Roman" w:hAnsi="Times New Roman"/>
              </w:rPr>
            </w:pPr>
            <w:r>
              <w:rPr>
                <w:rFonts w:hint="eastAsia" w:ascii="Times New Roman" w:hAnsi="Times New Roman"/>
              </w:rPr>
              <w:t>（2）直面恐惧冲击：心理学研究表明，恐惧可能引起逃避，而回避行为也可能诱发或加深恐惧。在坦诚接纳自己的同时，我们还可以尝试直面社交恐惧的冲击。首先，可以预约个体心理咨询或者参加一些团体心理辅导，因为这样的交往环境对社交恐惧症患者来讲更为“安全”，而且可以学习一些基本的社交技巧；其次，可以让自己出现在大街、商场、大规模活动、小聚会等各类公共场合，在恐惧刺激出现时练习肌肉放松，达到对恐惧的交互抑制，然后尝试在公众场合下发表自己的观点或演讲，通过“系统脱敏”的方式达到对恐惧的自然接纳。每当自己取得一点进步时就应该给自己奖励，长期的、有计划的坚持练习会使病症有很大的改观。</w:t>
            </w:r>
          </w:p>
          <w:p w14:paraId="647DB7FF">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（二）焦虑症</w:t>
            </w:r>
          </w:p>
          <w:p w14:paraId="75001743">
            <w:pPr>
              <w:widowControl/>
              <w:spacing w:line="360" w:lineRule="auto"/>
              <w:ind w:left="-19" w:leftChars="-9" w:firstLine="438" w:firstLineChars="209"/>
              <w:rPr>
                <w:rFonts w:hint="eastAsia" w:ascii="Times New Roman" w:hAnsi="Times New Roman"/>
              </w:rPr>
            </w:pPr>
            <w:r>
              <w:rPr>
                <w:rFonts w:hint="eastAsia" w:ascii="Times New Roman" w:hAnsi="Times New Roman"/>
              </w:rPr>
              <w:t>焦虑症（anxiety disorder）是指持续性精神紧张或发作性惊恐状态，常伴有明显的植物神经系统功能紊乱。发病率约占总人口的 2%~4.7%，发病年龄多在 15~40 岁，女性患者多于男性患者一倍。临床上可以分为两种类型：急性焦虑发作，即惊恐障碍；广泛性焦虑障碍，又称慢性焦虑症。在青年大学生中以广泛性焦虑障碍较为常见，个体充满了过度的、长期的、模糊的焦虑和担心，而这些焦虑和担心通常没有一个明确的原因，自己也说不清楚存在何种威胁。</w:t>
            </w:r>
          </w:p>
          <w:p w14:paraId="40FBE829">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1. 症状表现</w:t>
            </w:r>
          </w:p>
          <w:p w14:paraId="59C6B6AE">
            <w:pPr>
              <w:widowControl/>
              <w:spacing w:line="360" w:lineRule="auto"/>
              <w:ind w:left="-19" w:leftChars="-9" w:firstLine="438" w:firstLineChars="209"/>
              <w:jc w:val="both"/>
              <w:rPr>
                <w:rFonts w:hint="eastAsia" w:ascii="Times New Roman" w:hAnsi="Times New Roman"/>
                <w:lang w:eastAsia="zh-CN"/>
              </w:rPr>
            </w:pPr>
            <w:r>
              <w:rPr>
                <w:rFonts w:hint="eastAsia" w:ascii="Times New Roman" w:hAnsi="Times New Roman"/>
              </w:rPr>
              <w:t>（1）病理性焦虑反应：</w:t>
            </w:r>
            <w:r>
              <w:rPr>
                <w:rFonts w:ascii="Times New Roman" w:hAnsi="Times New Roman" w:eastAsia="宋体" w:cs="Times New Roman"/>
                <w:kern w:val="2"/>
                <w:sz w:val="21"/>
                <w:szCs w:val="24"/>
                <w:lang w:bidi="ar-SA"/>
              </w:rPr>
              <w:t>患者可能经历突发的恐惧、紧张或濒死感，担心失控或昏倒。急性焦虑症可导致患者暂时无法行动，而持续性焦虑则表现为整天焦虑不安，对外界过度敏感。70%患者伴有抑郁，情绪波动大，易怒。此外，患者可能认知障碍，对环境感知不清，过分关注健康。</w:t>
            </w:r>
          </w:p>
          <w:p w14:paraId="7E4594FF">
            <w:pPr>
              <w:widowControl/>
              <w:spacing w:line="360" w:lineRule="auto"/>
              <w:ind w:left="-19" w:leftChars="-9" w:firstLine="438" w:firstLineChars="209"/>
              <w:rPr>
                <w:rFonts w:hint="eastAsia" w:ascii="Times New Roman" w:hAnsi="Times New Roman"/>
              </w:rPr>
            </w:pPr>
            <w:r>
              <w:rPr>
                <w:rFonts w:hint="eastAsia" w:ascii="Times New Roman" w:hAnsi="Times New Roman"/>
              </w:rPr>
              <w:t>（2）躯体症状：心悸、心慌、胸闷、胸痛、气短、心跳呼吸频率加快；失眠、梦魇、疲乏感、工作学习效率低；肌肉紧张、颤抖、手指麻木；尿频、头昏目眩、月经失调、停经；心神不宁、坐立不安、搓手顿足、来回踱步、注意力无法集中等。</w:t>
            </w:r>
          </w:p>
          <w:p w14:paraId="32583CEA">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2. 主要病因</w:t>
            </w:r>
          </w:p>
          <w:p w14:paraId="5225BA92">
            <w:pPr>
              <w:widowControl/>
              <w:spacing w:line="360" w:lineRule="auto"/>
              <w:ind w:left="-19" w:leftChars="-9" w:firstLine="438" w:firstLineChars="209"/>
              <w:rPr>
                <w:rFonts w:hint="eastAsia" w:ascii="Times New Roman" w:hAnsi="Times New Roman"/>
              </w:rPr>
            </w:pPr>
            <w:r>
              <w:rPr>
                <w:rFonts w:hint="eastAsia" w:ascii="Times New Roman" w:hAnsi="Times New Roman"/>
              </w:rPr>
              <w:t>（1）生理因素：焦虑症患者往往会有 5- 羟色胺、去甲肾上腺素等多种神经递质的失衡，因此也具有一定的遗传性。</w:t>
            </w:r>
          </w:p>
          <w:p w14:paraId="403D881B">
            <w:pPr>
              <w:widowControl/>
              <w:spacing w:line="360" w:lineRule="auto"/>
              <w:ind w:left="-19" w:leftChars="-9" w:firstLine="438" w:firstLineChars="209"/>
              <w:rPr>
                <w:rFonts w:hint="eastAsia" w:ascii="Times New Roman" w:hAnsi="Times New Roman"/>
              </w:rPr>
            </w:pPr>
            <w:r>
              <w:rPr>
                <w:rFonts w:hint="eastAsia" w:ascii="Times New Roman" w:hAnsi="Times New Roman"/>
              </w:rPr>
              <w:t>（2）精神压力因素：当人们长期面临威胁，处于不利环境之中或遭遇重大的生活事件，对于易感人群就容易诱发焦虑症。</w:t>
            </w:r>
          </w:p>
          <w:p w14:paraId="57765A5D">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3. 应对措施</w:t>
            </w:r>
          </w:p>
          <w:p w14:paraId="2874CB17">
            <w:pPr>
              <w:widowControl/>
              <w:spacing w:line="360" w:lineRule="auto"/>
              <w:ind w:left="-19" w:leftChars="-9" w:firstLine="438" w:firstLineChars="209"/>
              <w:rPr>
                <w:rFonts w:hint="eastAsia" w:ascii="Times New Roman" w:hAnsi="Times New Roman"/>
              </w:rPr>
            </w:pPr>
            <w:r>
              <w:rPr>
                <w:rFonts w:hint="eastAsia" w:ascii="Times New Roman" w:hAnsi="Times New Roman"/>
              </w:rPr>
              <w:t>（1）药物治疗：焦虑症患者必须接受药物治疗，常用的抗焦虑剂有安定、氯氮、硝基安定、氟安定、甲丙氨酯、卡立普多等，部分焦虑症患者还需要结合抗抑郁药治疗。焦虑症的治疗效果预期较好。</w:t>
            </w:r>
          </w:p>
          <w:p w14:paraId="5A163D06">
            <w:pPr>
              <w:widowControl/>
              <w:spacing w:line="360" w:lineRule="auto"/>
              <w:ind w:left="-19" w:leftChars="-9" w:firstLine="438" w:firstLineChars="209"/>
              <w:rPr>
                <w:rFonts w:hint="eastAsia" w:ascii="Times New Roman" w:hAnsi="Times New Roman"/>
              </w:rPr>
            </w:pPr>
            <w:r>
              <w:rPr>
                <w:rFonts w:hint="eastAsia" w:ascii="Times New Roman" w:hAnsi="Times New Roman"/>
              </w:rPr>
              <w:t>（2）心理治疗：患者主要应学习放松训练，可以借助放松训练的音乐指导语在躺卧、坐立、行走等各种情境中练习肌肉放松，重复训练达到运用自如的程度。</w:t>
            </w:r>
          </w:p>
          <w:p w14:paraId="1E5AE1CF">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（三）强迫症</w:t>
            </w:r>
          </w:p>
          <w:p w14:paraId="3BD79D53">
            <w:pPr>
              <w:widowControl/>
              <w:spacing w:line="360" w:lineRule="auto"/>
              <w:ind w:left="-19" w:leftChars="-9" w:firstLine="438" w:firstLineChars="209"/>
              <w:rPr>
                <w:rFonts w:hint="eastAsia" w:ascii="Times New Roman" w:hAnsi="Times New Roman"/>
              </w:rPr>
            </w:pPr>
            <w:r>
              <w:rPr>
                <w:rFonts w:hint="eastAsia" w:ascii="Times New Roman" w:hAnsi="Times New Roman"/>
              </w:rPr>
              <w:t>强迫症（obsessive-compulsive disorder，OCD），又称强迫性障碍，是指个体被持续的、反复出现的、不必要的，且又感到不能阻止其出现的概念或思想所干扰而出现的失调行为。其特点是意识的自我强迫与反强迫同时并存，二者的冲突导致患者紧张不安，十分痛苦。发病率约占总人口的 0.1%，发病年龄多在 15~30 岁，男性多于女性，脑力劳动者和城市居民多于体力劳动者和农村居民。临床上可以分为强迫思维和强迫行为两大类。</w:t>
            </w:r>
          </w:p>
          <w:p w14:paraId="4317A17F">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1. 症状表现</w:t>
            </w:r>
          </w:p>
          <w:p w14:paraId="21A9C379">
            <w:pPr>
              <w:widowControl/>
              <w:spacing w:line="360" w:lineRule="auto"/>
              <w:ind w:left="-19" w:leftChars="-9" w:firstLine="438" w:firstLineChars="209"/>
              <w:rPr>
                <w:rFonts w:hint="eastAsia" w:ascii="Times New Roman" w:hAnsi="Times New Roman"/>
              </w:rPr>
            </w:pPr>
            <w:r>
              <w:rPr>
                <w:rFonts w:hint="eastAsia" w:ascii="Times New Roman" w:hAnsi="Times New Roman"/>
              </w:rPr>
              <w:t>（1）强迫思维</w:t>
            </w:r>
          </w:p>
          <w:p w14:paraId="79375FB1">
            <w:pPr>
              <w:widowControl/>
              <w:spacing w:line="360" w:lineRule="auto"/>
              <w:ind w:left="-19" w:leftChars="-9" w:firstLine="438" w:firstLineChars="209"/>
              <w:rPr>
                <w:rFonts w:hint="eastAsia" w:ascii="Times New Roman" w:hAnsi="Times New Roman"/>
              </w:rPr>
            </w:pPr>
            <w:r>
              <w:rPr>
                <w:rFonts w:hint="eastAsia" w:ascii="Times New Roman" w:hAnsi="Times New Roman"/>
              </w:rPr>
              <w:t>①强迫性穷思竭虑：患者对自然现象或者日常生活事件发生的原因进行反复无效的思考，比如“人为什么有两只眼睛，而不是三只”，“无穷大有多大，无穷小有多小”等。</w:t>
            </w:r>
          </w:p>
          <w:p w14:paraId="1D8EA37D">
            <w:pPr>
              <w:widowControl/>
              <w:spacing w:line="360" w:lineRule="auto"/>
              <w:ind w:left="-19" w:leftChars="-9" w:firstLine="438" w:firstLineChars="209"/>
              <w:rPr>
                <w:rFonts w:hint="eastAsia" w:ascii="Times New Roman" w:hAnsi="Times New Roman"/>
              </w:rPr>
            </w:pPr>
            <w:r>
              <w:rPr>
                <w:rFonts w:hint="eastAsia" w:ascii="Times New Roman" w:hAnsi="Times New Roman"/>
              </w:rPr>
              <w:t>②强迫性疑虑：患者对自己做过的事情经反复的考虑和检查后仍不放心，比如总怀疑门没有锁好。</w:t>
            </w:r>
          </w:p>
          <w:p w14:paraId="5F8A2539">
            <w:pPr>
              <w:widowControl/>
              <w:spacing w:line="360" w:lineRule="auto"/>
              <w:ind w:left="-19" w:leftChars="-9" w:firstLine="438" w:firstLineChars="209"/>
              <w:rPr>
                <w:rFonts w:hint="eastAsia" w:ascii="Times New Roman" w:hAnsi="Times New Roman"/>
              </w:rPr>
            </w:pPr>
            <w:r>
              <w:rPr>
                <w:rFonts w:hint="eastAsia" w:ascii="Times New Roman" w:hAnsi="Times New Roman"/>
              </w:rPr>
              <w:t>③强迫性对立观念：因两种对立的词句或概念反复在脑中相继出现而感到苦恼和紧张，如想到“拥护”，立即出现“反对”；说到“好人”时，立即想到“坏蛋”等。</w:t>
            </w:r>
          </w:p>
          <w:p w14:paraId="025DC52D">
            <w:pPr>
              <w:widowControl/>
              <w:spacing w:line="360" w:lineRule="auto"/>
              <w:ind w:left="-19" w:leftChars="-9" w:firstLine="438" w:firstLineChars="209"/>
              <w:rPr>
                <w:rFonts w:hint="eastAsia" w:ascii="Times New Roman" w:hAnsi="Times New Roman"/>
              </w:rPr>
            </w:pPr>
            <w:r>
              <w:rPr>
                <w:rFonts w:hint="eastAsia" w:ascii="Times New Roman" w:hAnsi="Times New Roman"/>
              </w:rPr>
              <w:t>（2）强迫行为</w:t>
            </w:r>
          </w:p>
          <w:p w14:paraId="78CC2850">
            <w:pPr>
              <w:widowControl/>
              <w:spacing w:line="360" w:lineRule="auto"/>
              <w:ind w:left="-19" w:leftChars="-9" w:firstLine="438" w:firstLineChars="209"/>
              <w:rPr>
                <w:rFonts w:hint="eastAsia" w:ascii="Times New Roman" w:hAnsi="Times New Roman"/>
              </w:rPr>
            </w:pPr>
            <w:r>
              <w:rPr>
                <w:rFonts w:hint="eastAsia" w:ascii="Times New Roman" w:hAnsi="Times New Roman"/>
              </w:rPr>
              <w:t>①强迫性仪式动作：患者每次要通过一套程序化的动作来完成日常生活中的某件事，比如上床睡觉一定要进五步再退两步，先脱左脚的鞋和袜子，然后把左脚的袜子放在右脚的鞋上，等等，否则会感到不安。</w:t>
            </w:r>
          </w:p>
          <w:p w14:paraId="17E88B7F">
            <w:pPr>
              <w:widowControl/>
              <w:spacing w:line="360" w:lineRule="auto"/>
              <w:ind w:left="-19" w:leftChars="-9" w:firstLine="438" w:firstLineChars="209"/>
              <w:rPr>
                <w:rFonts w:hint="eastAsia" w:ascii="Times New Roman" w:hAnsi="Times New Roman"/>
              </w:rPr>
            </w:pPr>
            <w:r>
              <w:rPr>
                <w:rFonts w:hint="eastAsia" w:ascii="Times New Roman" w:hAnsi="Times New Roman"/>
              </w:rPr>
              <w:t>②强迫性洗涤：反复多次洗手、洗头、洗物件，总感到洗不干净，比如，有位重症患者每次洗手要用掉一整块香皂，历时 2~3 个小时，直至深更半夜才罢休。</w:t>
            </w:r>
          </w:p>
          <w:p w14:paraId="46123B7B">
            <w:pPr>
              <w:widowControl/>
              <w:spacing w:line="360" w:lineRule="auto"/>
              <w:ind w:left="-19" w:leftChars="-9" w:firstLine="438" w:firstLineChars="209"/>
              <w:rPr>
                <w:rFonts w:hint="eastAsia" w:ascii="Times New Roman" w:hAnsi="Times New Roman"/>
              </w:rPr>
            </w:pPr>
            <w:r>
              <w:rPr>
                <w:rFonts w:hint="eastAsia" w:ascii="Times New Roman" w:hAnsi="Times New Roman"/>
              </w:rPr>
              <w:t>③强迫性询问：反复向身边的人询问有关同一件事，常与回忆和联想有关，患者总感觉不放心。</w:t>
            </w:r>
          </w:p>
          <w:p w14:paraId="3E927BAD">
            <w:pPr>
              <w:widowControl/>
              <w:spacing w:line="360" w:lineRule="auto"/>
              <w:ind w:left="-19" w:leftChars="-9" w:firstLine="438" w:firstLineChars="209"/>
              <w:rPr>
                <w:rFonts w:hint="eastAsia" w:ascii="Times New Roman" w:hAnsi="Times New Roman"/>
              </w:rPr>
            </w:pPr>
            <w:r>
              <w:rPr>
                <w:rFonts w:hint="eastAsia" w:ascii="Times New Roman" w:hAnsi="Times New Roman"/>
              </w:rPr>
              <w:t>④强迫性计数：不可控制地数台阶、电线杆，做一定次数的某个动作，否则感到不安，若漏掉了要重新数起。</w:t>
            </w:r>
          </w:p>
          <w:p w14:paraId="49735B28">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2. 主要病因</w:t>
            </w:r>
          </w:p>
          <w:p w14:paraId="3190324C">
            <w:pPr>
              <w:widowControl/>
              <w:spacing w:line="360" w:lineRule="auto"/>
              <w:ind w:left="-19" w:leftChars="-9" w:firstLine="438" w:firstLineChars="209"/>
              <w:rPr>
                <w:rFonts w:hint="eastAsia" w:ascii="Times New Roman" w:hAnsi="Times New Roman"/>
              </w:rPr>
            </w:pPr>
            <w:r>
              <w:rPr>
                <w:rFonts w:hint="eastAsia" w:ascii="Times New Roman" w:hAnsi="Times New Roman"/>
              </w:rPr>
              <w:t>（1）性格原因：强迫症患者的性格一般拘谨、忧虑、认真仔细、力求准确、缺乏灵活性、追求完美、爱钻牛角尖、过分严格要求自己、喜爱整齐和有秩序等，家庭教育过程中极端强调认真仔细的生活习惯容易培养这种性格特征。</w:t>
            </w:r>
          </w:p>
          <w:p w14:paraId="45254357">
            <w:pPr>
              <w:widowControl/>
              <w:spacing w:line="360" w:lineRule="auto"/>
              <w:ind w:left="-19" w:leftChars="-9" w:firstLine="438" w:firstLineChars="209"/>
              <w:rPr>
                <w:rFonts w:hint="eastAsia" w:ascii="Times New Roman" w:hAnsi="Times New Roman"/>
              </w:rPr>
            </w:pPr>
            <w:r>
              <w:rPr>
                <w:rFonts w:hint="eastAsia" w:ascii="Times New Roman" w:hAnsi="Times New Roman"/>
              </w:rPr>
              <w:t>（2）心理社会原因：强烈或持久的精神因素的作用及激烈的情绪体验的影响往往是强迫症发病的直接原因，比如由于工作、生活环境的变迁，责任加重，处境困难，担心意外，家庭不和或由于丧失亲人受到突然的惊吓等。</w:t>
            </w:r>
          </w:p>
          <w:p w14:paraId="7B75DABC">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3. 应对措施</w:t>
            </w:r>
          </w:p>
          <w:p w14:paraId="4FA61996">
            <w:pPr>
              <w:widowControl/>
              <w:spacing w:line="360" w:lineRule="auto"/>
              <w:ind w:left="-19" w:leftChars="-9" w:firstLine="438" w:firstLineChars="209"/>
              <w:rPr>
                <w:rFonts w:hint="eastAsia" w:ascii="Times New Roman" w:hAnsi="Times New Roman"/>
              </w:rPr>
            </w:pPr>
            <w:r>
              <w:rPr>
                <w:rFonts w:hint="eastAsia" w:ascii="Times New Roman" w:hAnsi="Times New Roman"/>
              </w:rPr>
              <w:t>（1）阻断法：当不自觉出现强迫观念或强迫行为时，通过大声喊“停”、默念“毫无必要”或者用橡皮筋弹手腕等方式来强行中止，同时给自己替代安排其他活动，实现注意力的转移。连续的训练有助于形成新的条件反射，达到消除强迫观念和行为的目的。</w:t>
            </w:r>
          </w:p>
          <w:p w14:paraId="163C4CE1">
            <w:pPr>
              <w:widowControl/>
              <w:spacing w:line="360" w:lineRule="auto"/>
              <w:ind w:left="-19" w:leftChars="-9" w:firstLine="438" w:firstLineChars="209"/>
              <w:rPr>
                <w:rFonts w:hint="eastAsia" w:ascii="Times New Roman" w:hAnsi="Times New Roman"/>
              </w:rPr>
            </w:pPr>
            <w:r>
              <w:rPr>
                <w:rFonts w:hint="eastAsia" w:ascii="Times New Roman" w:hAnsi="Times New Roman"/>
              </w:rPr>
              <w:t>（2）药物治疗：强迫症一般起病缓慢，病程较长，症状可持续多年或时轻时重，随着年龄增长，症状逐步减轻。病前有较明显精神因素、强迫性性格特征不显著、病程较短、无阳性家族史者，症状可能自发缓解；病前性格特征明显、发病年龄较早、病程较长者，需要长期结合药物治疗方能治愈。</w:t>
            </w:r>
          </w:p>
          <w:p w14:paraId="4445328B">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（四）躯体形式障碍</w:t>
            </w:r>
          </w:p>
          <w:p w14:paraId="715B343C">
            <w:pPr>
              <w:widowControl/>
              <w:spacing w:line="360" w:lineRule="auto"/>
              <w:ind w:left="-19" w:leftChars="-9" w:firstLine="438" w:firstLineChars="209"/>
              <w:rPr>
                <w:rFonts w:hint="eastAsia" w:ascii="Times New Roman" w:hAnsi="Times New Roman"/>
              </w:rPr>
            </w:pPr>
            <w:r>
              <w:rPr>
                <w:rFonts w:hint="eastAsia" w:ascii="Times New Roman" w:hAnsi="Times New Roman"/>
              </w:rPr>
              <w:t>躯体形式障碍（somatoform disorders）是一种以持久的担心或相信各种躯体症状的优势观念为特征的神经症。患者因这些症状反复就医，各种医学检查阴性和医生的解释均不能打消其疑虑。即使有时患者确实存在某种躯体障碍，但不能解释症状的性质、程度或病人的痛苦与先占观念。临床上主要可以分为：疑病症（hypochondriasis）、躯体化障碍（somatization disorder）等，在青年大学生群体中以疑病症较为常见。</w:t>
            </w:r>
          </w:p>
          <w:p w14:paraId="4B7B7114">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1. 症状表现</w:t>
            </w:r>
          </w:p>
          <w:p w14:paraId="35AA275D">
            <w:pPr>
              <w:widowControl/>
              <w:spacing w:line="360" w:lineRule="auto"/>
              <w:ind w:left="-19" w:leftChars="-9" w:firstLine="438" w:firstLineChars="209"/>
              <w:rPr>
                <w:rFonts w:hint="eastAsia" w:ascii="Times New Roman" w:hAnsi="Times New Roman"/>
              </w:rPr>
            </w:pPr>
            <w:r>
              <w:rPr>
                <w:rFonts w:hint="eastAsia" w:ascii="Times New Roman" w:hAnsi="Times New Roman"/>
              </w:rPr>
              <w:t>（1）疑病的心理障碍：患者坚信自己患有严重疾病，为此到处求治，找过许多医生，但反复检查均无阳性特征，或有小毛病但与本人感觉不对称。出现疑病性烦恼、不适感、感觉过敏，对自身健康过分关注。</w:t>
            </w:r>
          </w:p>
          <w:p w14:paraId="2D1CB040">
            <w:pPr>
              <w:widowControl/>
              <w:spacing w:line="360" w:lineRule="auto"/>
              <w:ind w:left="-19" w:leftChars="-9" w:firstLine="438" w:firstLineChars="209"/>
              <w:rPr>
                <w:rFonts w:hint="eastAsia" w:ascii="Times New Roman" w:hAnsi="Times New Roman"/>
              </w:rPr>
            </w:pPr>
            <w:r>
              <w:rPr>
                <w:rFonts w:hint="eastAsia" w:ascii="Times New Roman" w:hAnsi="Times New Roman"/>
              </w:rPr>
              <w:t>（2）疼痛：约有 2/3 的患者有疼痛症状，常见部位为头部、下腰部或右腋窝。这种疼痛描述清楚，有时甚至主诉全身痛，但查无实据。</w:t>
            </w:r>
          </w:p>
          <w:p w14:paraId="0496ABC6">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2. 主要病因</w:t>
            </w:r>
          </w:p>
          <w:p w14:paraId="08C5F805">
            <w:pPr>
              <w:widowControl/>
              <w:spacing w:line="360" w:lineRule="auto"/>
              <w:ind w:left="-19" w:leftChars="-9" w:firstLine="438" w:firstLineChars="209"/>
              <w:rPr>
                <w:rFonts w:hint="eastAsia" w:ascii="Times New Roman" w:hAnsi="Times New Roman"/>
              </w:rPr>
            </w:pPr>
            <w:r>
              <w:rPr>
                <w:rFonts w:hint="eastAsia" w:ascii="Times New Roman" w:hAnsi="Times New Roman"/>
              </w:rPr>
              <w:t>（1）性格原因：患者大多性格敏感多疑、主观固执、以自我为中心、自怜和孤独。男性多具有强迫性人格，女性则多与表演性人格有关。</w:t>
            </w:r>
          </w:p>
          <w:p w14:paraId="535F923A">
            <w:pPr>
              <w:widowControl/>
              <w:spacing w:line="360" w:lineRule="auto"/>
              <w:ind w:left="-19" w:leftChars="-9" w:firstLine="438" w:firstLineChars="209"/>
              <w:rPr>
                <w:rFonts w:hint="eastAsia" w:ascii="Times New Roman" w:hAnsi="Times New Roman"/>
              </w:rPr>
            </w:pPr>
            <w:r>
              <w:rPr>
                <w:rFonts w:hint="eastAsia" w:ascii="Times New Roman" w:hAnsi="Times New Roman"/>
              </w:rPr>
              <w:t>（2）心理社会原因：婚姻破裂、子女离别、人际交往减少、孤独不稳定等均可成为疑病症的诱因。当然，有的患者之前得过重大的躯体疾病，并由此促发了强烈的自我暗示和条件联想。</w:t>
            </w:r>
          </w:p>
          <w:p w14:paraId="5A0B9CDB">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3. 应对措施</w:t>
            </w:r>
          </w:p>
          <w:p w14:paraId="34D5E311">
            <w:pPr>
              <w:widowControl/>
              <w:spacing w:line="360" w:lineRule="auto"/>
              <w:ind w:left="-19" w:leftChars="-9" w:firstLine="438" w:firstLineChars="209"/>
              <w:rPr>
                <w:rFonts w:hint="eastAsia" w:ascii="Times New Roman" w:hAnsi="Times New Roman"/>
              </w:rPr>
            </w:pPr>
            <w:r>
              <w:rPr>
                <w:rFonts w:hint="eastAsia" w:ascii="Times New Roman" w:hAnsi="Times New Roman"/>
              </w:rPr>
              <w:t>（1）慎重诊断：必须经过严格细致的体检和实验检查，切实排除器质性疾病的可能才能下结论，否则可能延误病情，危害身体健康。</w:t>
            </w:r>
          </w:p>
          <w:p w14:paraId="3E18065E">
            <w:pPr>
              <w:widowControl/>
              <w:spacing w:line="360" w:lineRule="auto"/>
              <w:ind w:left="-19" w:leftChars="-9" w:firstLine="438" w:firstLineChars="209"/>
              <w:rPr>
                <w:rFonts w:hint="eastAsia" w:ascii="Times New Roman" w:hAnsi="Times New Roman"/>
              </w:rPr>
            </w:pPr>
            <w:r>
              <w:rPr>
                <w:rFonts w:hint="eastAsia" w:ascii="Times New Roman" w:hAnsi="Times New Roman"/>
              </w:rPr>
              <w:t>（2）心理治疗：经过反复检查无器质性病变后应适时地求助于心理治疗，了解心理社会因素致病的可能，配合心理医生发掘和分析症状背后潜在的心理冲突，从而缓解症状。</w:t>
            </w:r>
          </w:p>
          <w:p w14:paraId="5E9ABECC">
            <w:pPr>
              <w:widowControl/>
              <w:spacing w:line="360" w:lineRule="auto"/>
              <w:ind w:left="-19" w:leftChars="-9" w:firstLine="438" w:firstLineChars="209"/>
              <w:rPr>
                <w:rFonts w:hint="eastAsia" w:ascii="Times New Roman" w:hAnsi="Times New Roman"/>
              </w:rPr>
            </w:pPr>
            <w:r>
              <w:rPr>
                <w:rFonts w:hint="eastAsia" w:ascii="Times New Roman" w:hAnsi="Times New Roman"/>
              </w:rPr>
              <w:t>（3）药物治疗：一方面辅以药物，帮助消除某些躯体不适症状；另一方面，心理医生可以借助患者高度的受暗示性，为其开一些“具有明显调理功效”的药物（通常是维生素片），并通过重复暗示促进来访者疑病症状的缓解和消失。</w:t>
            </w:r>
          </w:p>
          <w:p w14:paraId="5BACEDF1">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（五）神经衰弱</w:t>
            </w:r>
          </w:p>
          <w:p w14:paraId="0B3C7160">
            <w:pPr>
              <w:widowControl/>
              <w:spacing w:line="360" w:lineRule="auto"/>
              <w:ind w:left="-19" w:leftChars="-9" w:firstLine="438" w:firstLineChars="209"/>
              <w:rPr>
                <w:rFonts w:hint="eastAsia" w:ascii="Times New Roman" w:hAnsi="Times New Roman"/>
              </w:rPr>
            </w:pPr>
            <w:r>
              <w:rPr>
                <w:rFonts w:hint="eastAsia" w:ascii="Times New Roman" w:hAnsi="Times New Roman"/>
              </w:rPr>
              <w:t>神经衰弱是一种神经系统功能失调症，是由各种精神因素引起的高级神经活动过度紧张，导致大脑神经功能紊乱而暂时性失调。据调查，神经衰弱在大学生中的发生率约为 8.5%，男女之间没有显著差异。</w:t>
            </w:r>
          </w:p>
          <w:p w14:paraId="2AD173DC">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1. 症状表现</w:t>
            </w:r>
          </w:p>
          <w:p w14:paraId="0C38659C">
            <w:pPr>
              <w:widowControl/>
              <w:spacing w:line="360" w:lineRule="auto"/>
              <w:ind w:left="-19" w:leftChars="-9" w:firstLine="438" w:firstLineChars="209"/>
              <w:rPr>
                <w:rFonts w:hint="eastAsia" w:ascii="Times New Roman" w:hAnsi="Times New Roman"/>
              </w:rPr>
            </w:pPr>
            <w:r>
              <w:rPr>
                <w:rFonts w:hint="eastAsia" w:ascii="Times New Roman" w:hAnsi="Times New Roman"/>
              </w:rPr>
              <w:t>（1）脑功能异常：易于疲劳和衰竭、健忘，注意力难以集中或不能持久，记忆力明显减弱，体力、精力不足；情感脆弱，情绪波动大，易被激怒，有时容易兴奋激动，又迅速转为忧虑沮丧，甚至易笑易哭、烦躁不安；对内外刺激感觉过敏（比如感到头部的血管搏动、怕光、怕声等）；头脑持续性钝痛、头晕脑胀。</w:t>
            </w:r>
          </w:p>
          <w:p w14:paraId="404C9CD3">
            <w:pPr>
              <w:widowControl/>
              <w:spacing w:line="360" w:lineRule="auto"/>
              <w:ind w:left="-19" w:leftChars="-9" w:firstLine="438" w:firstLineChars="209"/>
              <w:rPr>
                <w:rFonts w:hint="eastAsia" w:ascii="Times New Roman" w:hAnsi="Times New Roman"/>
              </w:rPr>
            </w:pPr>
            <w:r>
              <w:rPr>
                <w:rFonts w:hint="eastAsia" w:ascii="Times New Roman" w:hAnsi="Times New Roman"/>
              </w:rPr>
              <w:t>（2）睡眠障碍：失眠、早醒、难以入睡、多梦、白日嗜睡但不解困、昏昏沉沉。</w:t>
            </w:r>
          </w:p>
          <w:p w14:paraId="3576FF60">
            <w:pPr>
              <w:widowControl/>
              <w:spacing w:line="360" w:lineRule="auto"/>
              <w:ind w:left="-19" w:leftChars="-9" w:firstLine="438" w:firstLineChars="209"/>
              <w:rPr>
                <w:rFonts w:hint="eastAsia" w:ascii="Times New Roman" w:hAnsi="Times New Roman"/>
              </w:rPr>
            </w:pPr>
            <w:r>
              <w:rPr>
                <w:rFonts w:hint="eastAsia" w:ascii="Times New Roman" w:hAnsi="Times New Roman"/>
              </w:rPr>
              <w:t>（3）植物神经功能紊乱：心悸、心慌、胸闷、胸痛、消化不良、腹胀、食欲降低、无力、周身不适、多汗、尿频、阳痿早泄、月经不调、痛经、血压不稳等。</w:t>
            </w:r>
          </w:p>
          <w:p w14:paraId="652834A8">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2. 主要病因</w:t>
            </w:r>
          </w:p>
          <w:p w14:paraId="26DDD668">
            <w:pPr>
              <w:widowControl/>
              <w:spacing w:line="360" w:lineRule="auto"/>
              <w:ind w:left="-19" w:leftChars="-9" w:firstLine="438" w:firstLineChars="209"/>
              <w:rPr>
                <w:rFonts w:hint="eastAsia" w:ascii="Times New Roman" w:hAnsi="Times New Roman"/>
              </w:rPr>
            </w:pPr>
            <w:r>
              <w:rPr>
                <w:rFonts w:hint="eastAsia" w:ascii="Times New Roman" w:hAnsi="Times New Roman"/>
              </w:rPr>
              <w:t>（1）性格原因：调查发现，性格胆怯、自卑抑郁、依赖性强、敏感多疑、主观任性、急躁好强、自制力差的人更容易罹患神经衰弱。</w:t>
            </w:r>
          </w:p>
          <w:p w14:paraId="40DE8E30">
            <w:pPr>
              <w:widowControl/>
              <w:spacing w:line="360" w:lineRule="auto"/>
              <w:ind w:left="-19" w:leftChars="-9" w:firstLine="438" w:firstLineChars="209"/>
              <w:rPr>
                <w:rFonts w:hint="eastAsia" w:ascii="Times New Roman" w:hAnsi="Times New Roman"/>
              </w:rPr>
            </w:pPr>
            <w:r>
              <w:rPr>
                <w:rFonts w:hint="eastAsia" w:ascii="Times New Roman" w:hAnsi="Times New Roman"/>
              </w:rPr>
              <w:t>（2）心理社会原因：学习负担过重、家庭期望过高、父母不和、人际关系紧张、亲人亡故、感情破裂、升学就业困扰、性心理困扰等是诱发青少年学生神经衰弱的主要心理社会因素，其中部分因素使得大脑神经活动长期持续性过度紧张，导致大脑兴奋和抑制功能失调而产生神经衰弱。</w:t>
            </w:r>
          </w:p>
          <w:p w14:paraId="4A9AD37F">
            <w:pPr>
              <w:widowControl/>
              <w:spacing w:line="360" w:lineRule="auto"/>
              <w:ind w:left="-19" w:leftChars="-9" w:firstLine="438" w:firstLineChars="209"/>
              <w:rPr>
                <w:rFonts w:hint="eastAsia" w:ascii="Times New Roman" w:hAnsi="Times New Roman"/>
              </w:rPr>
            </w:pPr>
            <w:r>
              <w:rPr>
                <w:rFonts w:hint="eastAsia" w:ascii="Times New Roman" w:hAnsi="Times New Roman"/>
              </w:rPr>
              <w:t>（3）生理原因：体质不佳、近期躯体疾病有时也易诱发神经衰弱。感染、中毒、营养不良、内分泌失调等也会对神经系统产生不良的影响。</w:t>
            </w:r>
          </w:p>
          <w:p w14:paraId="4BB63C01">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3. 应对措施</w:t>
            </w:r>
          </w:p>
          <w:p w14:paraId="44B596B4">
            <w:pPr>
              <w:widowControl/>
              <w:spacing w:line="360" w:lineRule="auto"/>
              <w:ind w:left="-19" w:leftChars="-9" w:firstLine="438" w:firstLineChars="209"/>
              <w:rPr>
                <w:rFonts w:hint="eastAsia" w:ascii="Times New Roman" w:hAnsi="Times New Roman"/>
              </w:rPr>
            </w:pPr>
            <w:r>
              <w:rPr>
                <w:rFonts w:hint="eastAsia" w:ascii="Times New Roman" w:hAnsi="Times New Roman"/>
              </w:rPr>
              <w:t>（1）心理治疗：可以寻求专业的心理治疗，充分倾诉内心痛苦、焦虑的感受，分析起病的原因，同时可以通过放松训练、音乐治疗、生物反馈治疗等解除精神压力和紧张情绪，并增加自己的心理自由度（比如：允许自己有优缺点，不怕使别人失望）。</w:t>
            </w:r>
          </w:p>
          <w:p w14:paraId="4494D9F9">
            <w:pPr>
              <w:widowControl/>
              <w:spacing w:line="360" w:lineRule="auto"/>
              <w:ind w:left="-19" w:leftChars="-9" w:firstLine="438" w:firstLineChars="209"/>
              <w:rPr>
                <w:rFonts w:hint="eastAsia" w:ascii="Times New Roman" w:hAnsi="Times New Roman"/>
              </w:rPr>
            </w:pPr>
            <w:r>
              <w:rPr>
                <w:rFonts w:hint="eastAsia" w:ascii="Times New Roman" w:hAnsi="Times New Roman"/>
              </w:rPr>
              <w:t>（2）药物治疗：针对某些症状，适当地采用药物辅助治疗，如抗焦虑、抗抑郁药物、解除睡眠障碍药物、中医或食疗调整等。</w:t>
            </w:r>
          </w:p>
          <w:p w14:paraId="4E212D34">
            <w:pPr>
              <w:widowControl/>
              <w:spacing w:line="360" w:lineRule="auto"/>
              <w:ind w:left="-19" w:leftChars="-9" w:firstLine="438" w:firstLineChars="209"/>
              <w:rPr>
                <w:rFonts w:hint="eastAsia" w:ascii="Times New Roman" w:hAnsi="Times New Roman"/>
              </w:rPr>
            </w:pPr>
            <w:r>
              <w:rPr>
                <w:rFonts w:hint="eastAsia" w:ascii="Times New Roman" w:hAnsi="Times New Roman"/>
              </w:rPr>
              <w:t>（3）日常调整：保证规律的作息时间，每天坚持适量户外运动、练习静坐、温水淋浴等有助于缓解神经衰弱的症状。</w:t>
            </w:r>
          </w:p>
          <w:p w14:paraId="22DCF9E3">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二、心境障碍</w:t>
            </w:r>
          </w:p>
          <w:p w14:paraId="6A678670">
            <w:pPr>
              <w:widowControl/>
              <w:spacing w:line="360" w:lineRule="auto"/>
              <w:ind w:left="-19" w:leftChars="-9" w:firstLine="438" w:firstLineChars="209"/>
              <w:rPr>
                <w:rFonts w:hint="eastAsia" w:ascii="Times New Roman" w:hAnsi="Times New Roman"/>
              </w:rPr>
            </w:pPr>
            <w:r>
              <w:rPr>
                <w:rFonts w:hint="eastAsia" w:ascii="Times New Roman" w:hAnsi="Times New Roman"/>
              </w:rPr>
              <w:t>心境障碍（mood disorder），又称情感性精神障碍（eff ective disorder），是以明显而持久的心境高涨或心境低落为主的一组精神障碍。伴有相应的认知和行为改变，严重者可有幻觉、妄想等精神病性症状。大多有反复发作倾向，治疗缓解后或发作期间精神状态基本正常，但部分患者有残留症状或转为慢性。根据其临床表现可以分为：躁狂发作（manic episode）、抑郁发作（depressive episode）、双相障碍（bipolar disorder）、持续性心境障碍（persistent mood disorder）。在大学生群体中较为常见的为抑郁发作，也就是人们通常所说的抑郁症（depression）。</w:t>
            </w:r>
          </w:p>
          <w:p w14:paraId="39954DBC">
            <w:pPr>
              <w:widowControl/>
              <w:spacing w:line="360" w:lineRule="auto"/>
              <w:ind w:left="-19" w:leftChars="-9" w:firstLine="438" w:firstLineChars="209"/>
              <w:rPr>
                <w:rFonts w:hint="eastAsia" w:ascii="Times New Roman" w:hAnsi="Times New Roman"/>
              </w:rPr>
            </w:pPr>
            <w:r>
              <w:rPr>
                <w:rFonts w:hint="eastAsia" w:ascii="Times New Roman" w:hAnsi="Times New Roman"/>
              </w:rPr>
              <w:t>抑郁症，也叫忧郁症，是指一种持久的心境低落状态，常伴有焦虑、躯体不适和饮食睡眠障碍。抑郁症的发病率为 3%~5%，是现代社会常见的心理疾病，被称为精神病学上的“流感”，也是日常生活中“原因不明”的自杀行为的重要诱因。</w:t>
            </w:r>
          </w:p>
          <w:p w14:paraId="18133E9C">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1. 症状表现</w:t>
            </w:r>
          </w:p>
          <w:p w14:paraId="174F220E">
            <w:pPr>
              <w:widowControl/>
              <w:spacing w:line="360" w:lineRule="auto"/>
              <w:ind w:left="-19" w:leftChars="-9" w:firstLine="438" w:firstLineChars="209"/>
              <w:rPr>
                <w:rFonts w:hint="eastAsia" w:ascii="Times New Roman" w:hAnsi="Times New Roman"/>
              </w:rPr>
            </w:pPr>
            <w:r>
              <w:rPr>
                <w:rFonts w:hint="eastAsia" w:ascii="Times New Roman" w:hAnsi="Times New Roman"/>
              </w:rPr>
              <w:t>（1）情绪低落：患者外表并不一定有明显的异常表现，但自觉心情压抑、沮丧、苦闷、无精打采，对日常活动缺乏兴趣。虽然可以表露出正常人喜怒哀乐的情绪变化，但总的心理倾向是孤独、空虚、忧郁和悲伤，常暗自哭泣。</w:t>
            </w:r>
          </w:p>
          <w:p w14:paraId="6ACFF0A6">
            <w:pPr>
              <w:widowControl/>
              <w:spacing w:line="360" w:lineRule="auto"/>
              <w:ind w:left="-19" w:leftChars="-9" w:firstLine="438" w:firstLineChars="209"/>
              <w:rPr>
                <w:rFonts w:hint="eastAsia" w:ascii="Times New Roman" w:hAnsi="Times New Roman"/>
              </w:rPr>
            </w:pPr>
            <w:r>
              <w:rPr>
                <w:rFonts w:hint="eastAsia" w:ascii="Times New Roman" w:hAnsi="Times New Roman"/>
              </w:rPr>
              <w:t>（2）认知障碍：患者自我评价过低，消极地看待自我、自己的经验和自己的未来（抑郁症患者认知三联征）。悲观消沉，思维迟缓，自责内疚，甚至出现罪恶妄想，其内在核心信念是“无助（helpless）”和“不可爱（unlovable）”。</w:t>
            </w:r>
          </w:p>
          <w:p w14:paraId="1EA7ADBF">
            <w:pPr>
              <w:widowControl/>
              <w:spacing w:line="360" w:lineRule="auto"/>
              <w:ind w:left="-19" w:leftChars="-9" w:firstLine="438" w:firstLineChars="209"/>
              <w:rPr>
                <w:rFonts w:hint="eastAsia" w:ascii="Times New Roman" w:hAnsi="Times New Roman"/>
              </w:rPr>
            </w:pPr>
            <w:r>
              <w:rPr>
                <w:rFonts w:hint="eastAsia" w:ascii="Times New Roman" w:hAnsi="Times New Roman"/>
              </w:rPr>
              <w:t>（3）意志行为能力低下：精神不振，反应缓慢，对学习、工作缺乏信心，效率低下。意志行为退缩，缺乏动力和活力，尽量回避与人交往和担负责任。</w:t>
            </w:r>
          </w:p>
          <w:p w14:paraId="0FE54C94">
            <w:pPr>
              <w:widowControl/>
              <w:spacing w:line="360" w:lineRule="auto"/>
              <w:ind w:left="-19" w:leftChars="-9" w:firstLine="438" w:firstLineChars="209"/>
              <w:rPr>
                <w:rFonts w:hint="eastAsia" w:ascii="Times New Roman" w:hAnsi="Times New Roman"/>
              </w:rPr>
            </w:pPr>
            <w:r>
              <w:rPr>
                <w:rFonts w:hint="eastAsia" w:ascii="Times New Roman" w:hAnsi="Times New Roman"/>
              </w:rPr>
              <w:t>（4）躯体症状：全身疲乏，缺乏体力和精力，常有胸闷、心悸、腹痛、食欲不振、便秘、月经失调、性欲下降、失眠、多梦、早醒等症状。</w:t>
            </w:r>
          </w:p>
          <w:p w14:paraId="1DB18D35">
            <w:pPr>
              <w:widowControl/>
              <w:spacing w:line="360" w:lineRule="auto"/>
              <w:ind w:left="-19" w:leftChars="-9" w:firstLine="438" w:firstLineChars="209"/>
              <w:rPr>
                <w:rFonts w:hint="eastAsia" w:ascii="Times New Roman" w:hAnsi="Times New Roman"/>
              </w:rPr>
            </w:pPr>
            <w:r>
              <w:rPr>
                <w:rFonts w:hint="eastAsia" w:ascii="Times New Roman" w:hAnsi="Times New Roman"/>
              </w:rPr>
              <w:t>（5）自杀倾向：大多数患者有消极观念，声称“生不如死”，少数重症患者有自杀的危险。</w:t>
            </w:r>
          </w:p>
          <w:p w14:paraId="6BE4804D">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2. 主要病因</w:t>
            </w:r>
          </w:p>
          <w:p w14:paraId="45A65651">
            <w:pPr>
              <w:widowControl/>
              <w:spacing w:line="360" w:lineRule="auto"/>
              <w:ind w:left="-19" w:leftChars="-9" w:firstLine="438" w:firstLineChars="209"/>
              <w:rPr>
                <w:rFonts w:hint="eastAsia" w:ascii="Times New Roman" w:hAnsi="Times New Roman"/>
              </w:rPr>
            </w:pPr>
            <w:r>
              <w:rPr>
                <w:rFonts w:hint="eastAsia" w:ascii="Times New Roman" w:hAnsi="Times New Roman"/>
              </w:rPr>
              <w:t>抑郁症的病因比较复杂，发病常常与多个方面的综合影响有关。首先，大量的案例分析和诊疗经验发现，抑郁症患者具有一些心理素质和性格特征上的易感因素，比如过分自卑、悲观固执、敏感多疑、胆小软弱等；其次，抑郁症的发病通常以具体的生活事件为诱因，比如身体重病、家庭变故、经济困难、留级处罚、被虐待或忽视等，同时社会支持不足，各种心理压力没有得到及时合理的疏导，继而促发抑郁症；另外，还有精神医学专家指出，抑郁症的发病与大脑神经递质的异常有关，比如 5- 羟色胺和去甲肾上腺素这两种神经递质之间不平衡，就可能导致抑郁症或焦虑症，因此抑郁症具有一定的遗传性。</w:t>
            </w:r>
          </w:p>
          <w:p w14:paraId="4080223F">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3. 应对措施</w:t>
            </w:r>
          </w:p>
          <w:p w14:paraId="10725ABC">
            <w:pPr>
              <w:widowControl/>
              <w:spacing w:line="360" w:lineRule="auto"/>
              <w:ind w:left="-19" w:leftChars="-9" w:firstLine="438" w:firstLineChars="209"/>
              <w:rPr>
                <w:rFonts w:hint="eastAsia" w:ascii="Times New Roman" w:hAnsi="Times New Roman"/>
              </w:rPr>
            </w:pPr>
            <w:r>
              <w:rPr>
                <w:rFonts w:hint="eastAsia" w:ascii="Times New Roman" w:hAnsi="Times New Roman"/>
              </w:rPr>
              <w:t>（1）科学诊断，接受心理治疗：当出现抑郁症可疑症状时，应及时到专业的心理咨询中心或医院精神卫生门诊寻求科学诊断，切忌根据个人的主观经验或心理测试结果随意给自己或他人贴上“抑郁症”的标签，以免凭空制造心理压力。经专业诊断确患有抑郁症的个体，应坚持接受心理治疗，比如认知矫正、行为训练、生物反馈治疗等。</w:t>
            </w:r>
          </w:p>
          <w:p w14:paraId="529CDA1E">
            <w:pPr>
              <w:widowControl/>
              <w:spacing w:line="360" w:lineRule="auto"/>
              <w:ind w:left="-19" w:leftChars="-9" w:firstLine="438" w:firstLineChars="209"/>
              <w:rPr>
                <w:rFonts w:hint="eastAsia" w:ascii="Times New Roman" w:hAnsi="Times New Roman"/>
              </w:rPr>
            </w:pPr>
            <w:r>
              <w:rPr>
                <w:rFonts w:hint="eastAsia" w:ascii="Times New Roman" w:hAnsi="Times New Roman"/>
              </w:rPr>
              <w:t>（2）辅以药物治疗：抑郁症患者（尤其在重症情况下）通常情绪低落，思维迟缓，意志行动能力下降，并伴随一系列饮食、睡眠和行为障碍，为了能够更好地帮助患者改善情绪状态、提升认知行为改变的动力与活力、调整日常生物节律，一般需要在精神科医生的指导下辅以抗抑郁药物治疗，如丙咪嗪、阿米替林、多虑平和氯丙咪嗪等三环类抗抑郁剂。</w:t>
            </w:r>
          </w:p>
          <w:p w14:paraId="02DC5072">
            <w:pPr>
              <w:widowControl/>
              <w:spacing w:line="360" w:lineRule="auto"/>
              <w:ind w:left="-19" w:leftChars="-9" w:firstLine="438" w:firstLineChars="209"/>
              <w:jc w:val="both"/>
              <w:rPr>
                <w:rFonts w:hint="eastAsia" w:ascii="Times New Roman" w:hAnsi="Times New Roman"/>
                <w:lang w:eastAsia="zh-CN"/>
              </w:rPr>
            </w:pPr>
            <w:r>
              <w:rPr>
                <w:rFonts w:hint="eastAsia" w:ascii="Times New Roman" w:hAnsi="Times New Roman"/>
              </w:rPr>
              <w:t>（3）坚持自我调整：</w:t>
            </w:r>
            <w:bookmarkStart w:id="0" w:name="_GoBack"/>
            <w:r>
              <w:rPr>
                <w:rFonts w:ascii="Times New Roman" w:hAnsi="Times New Roman" w:eastAsia="宋体" w:cs="Times New Roman"/>
                <w:kern w:val="2"/>
                <w:sz w:val="21"/>
                <w:szCs w:val="24"/>
                <w:lang w:bidi="ar-SA"/>
              </w:rPr>
              <w:t>心理和药物治疗需要患者努力尝试。森田疗法对抑郁症患者有启发，强调“顺其自然，为所当为”。患者应坚持日常学习和工作，维持正常生活节奏。面对心理困扰，应“带着症状去生活”，这有助于避免失败的连锁反应，并可能通过完成任务获得正向强化。</w:t>
            </w:r>
            <w:bookmarkEnd w:id="0"/>
          </w:p>
          <w:p w14:paraId="041A209B">
            <w:pPr>
              <w:widowControl/>
              <w:spacing w:line="360" w:lineRule="auto"/>
              <w:rPr>
                <w:rFonts w:ascii="Times New Roman" w:hAnsi="Times New Roman"/>
              </w:rPr>
            </w:pPr>
            <w:r>
              <w:rPr>
                <w:rFonts w:hint="eastAsia" w:ascii="Times New Roman" w:hAnsi="Times New Roman"/>
                <w:b/>
                <w:bCs/>
              </w:rPr>
              <w:t>【</w:t>
            </w:r>
            <w:r>
              <w:rPr>
                <w:rFonts w:hint="eastAsia" w:ascii="Times New Roman" w:hAnsi="Times New Roman"/>
                <w:b/>
                <w:szCs w:val="24"/>
              </w:rPr>
              <w:t>学生</w:t>
            </w:r>
            <w:r>
              <w:rPr>
                <w:rFonts w:hint="eastAsia" w:ascii="Times New Roman" w:hAnsi="Times New Roman"/>
                <w:b/>
                <w:bCs/>
              </w:rPr>
              <w:t>】</w:t>
            </w:r>
            <w:r>
              <w:rPr>
                <w:rFonts w:hint="eastAsia" w:ascii="Times New Roman" w:hAnsi="Times New Roman"/>
                <w:b/>
                <w:bCs/>
                <w:color w:val="CC0066"/>
              </w:rPr>
              <w:t>理解、记忆</w:t>
            </w:r>
          </w:p>
        </w:tc>
        <w:tc>
          <w:tcPr>
            <w:tcW w:w="1617" w:type="dxa"/>
            <w:tcBorders>
              <w:top w:val="dashSmallGap" w:color="E54C5E" w:themeColor="accent6" w:sz="4" w:space="0"/>
              <w:left w:val="dashSmallGap" w:color="F4B382" w:themeColor="accent2" w:themeTint="99" w:sz="4" w:space="0"/>
              <w:bottom w:val="dashSmallGap" w:color="4874CB" w:themeColor="accent1" w:sz="4" w:space="0"/>
            </w:tcBorders>
            <w:shd w:val="clear" w:color="auto" w:fill="auto"/>
            <w:vAlign w:val="center"/>
          </w:tcPr>
          <w:p w14:paraId="56BF8B81">
            <w:pPr>
              <w:spacing w:line="360" w:lineRule="auto"/>
              <w:jc w:val="both"/>
              <w:rPr>
                <w:rFonts w:ascii="Times New Roman" w:hAnsi="Times New Roman"/>
                <w:b/>
                <w:szCs w:val="24"/>
              </w:rPr>
            </w:pPr>
            <w:r>
              <w:rPr>
                <w:rFonts w:hint="eastAsia" w:ascii="Times New Roman" w:hAnsi="Times New Roman"/>
                <w:b w:val="0"/>
                <w:bCs/>
                <w:spacing w:val="6"/>
                <w:sz w:val="21"/>
                <w:szCs w:val="24"/>
              </w:rPr>
              <w:t>通过</w:t>
            </w:r>
            <w:r>
              <w:rPr>
                <w:rFonts w:hint="eastAsia" w:ascii="Times New Roman" w:hAnsi="Times New Roman"/>
                <w:b w:val="0"/>
                <w:bCs/>
                <w:spacing w:val="6"/>
                <w:sz w:val="21"/>
                <w:szCs w:val="24"/>
                <w:lang w:eastAsia="zh-CN"/>
              </w:rPr>
              <w:t>分享见解</w:t>
            </w:r>
            <w:r>
              <w:rPr>
                <w:rFonts w:hint="eastAsia" w:ascii="Times New Roman" w:hAnsi="Times New Roman"/>
                <w:b w:val="0"/>
                <w:bCs/>
                <w:spacing w:val="6"/>
                <w:sz w:val="21"/>
                <w:szCs w:val="24"/>
              </w:rPr>
              <w:t>，带领学生</w:t>
            </w:r>
            <w:r>
              <w:rPr>
                <w:rFonts w:hint="eastAsia" w:ascii="Times New Roman" w:hAnsi="Times New Roman"/>
                <w:b w:val="0"/>
                <w:bCs/>
                <w:spacing w:val="6"/>
                <w:sz w:val="21"/>
                <w:szCs w:val="24"/>
                <w:lang w:eastAsia="zh-CN"/>
              </w:rPr>
              <w:t>进一步了解大学生常见的心理疾病及其应对</w:t>
            </w:r>
            <w:r>
              <w:rPr>
                <w:rFonts w:hint="eastAsia" w:ascii="Times New Roman" w:hAnsi="Times New Roman"/>
                <w:b w:val="0"/>
                <w:bCs/>
                <w:spacing w:val="6"/>
                <w:sz w:val="21"/>
                <w:szCs w:val="24"/>
              </w:rPr>
              <w:t>，客观直接的展示大学生常见的心理疾病及其应对的基础知识。</w:t>
            </w:r>
          </w:p>
        </w:tc>
      </w:tr>
      <w:tr w14:paraId="735D45C3">
        <w:trPr>
          <w:trHeight w:val="567" w:hRule="atLeast"/>
          <w:jc w:val="center"/>
        </w:trPr>
        <w:tc>
          <w:tcPr>
            <w:tcW w:w="1538" w:type="dxa"/>
            <w:tcBorders>
              <w:top w:val="dashSmallGap" w:color="4874CB" w:themeColor="accent1" w:sz="4" w:space="0"/>
              <w:bottom w:val="dashSmallGap" w:color="F4B382" w:themeColor="accent2" w:themeTint="99" w:sz="4" w:space="0"/>
              <w:right w:val="dashSmallGap" w:color="E54C5E" w:themeColor="accent6" w:sz="4" w:space="0"/>
            </w:tcBorders>
            <w:shd w:val="clear" w:color="auto" w:fill="F9DBDF" w:themeFill="accent6" w:themeFillTint="32"/>
            <w:vAlign w:val="center"/>
          </w:tcPr>
          <w:p w14:paraId="1536DAC2">
            <w:pPr>
              <w:spacing w:line="360" w:lineRule="auto"/>
              <w:jc w:val="center"/>
              <w:rPr>
                <w:rFonts w:ascii="微软雅黑" w:hAnsi="微软雅黑" w:eastAsia="微软雅黑"/>
                <w:b/>
                <w:color w:val="851321" w:themeColor="accent6" w:themeShade="80"/>
                <w:sz w:val="24"/>
                <w:szCs w:val="24"/>
              </w:rPr>
            </w:pPr>
            <w:r>
              <w:rPr>
                <w:rFonts w:hint="eastAsia" w:ascii="微软雅黑" w:hAnsi="微软雅黑" w:eastAsia="微软雅黑"/>
                <w:b/>
                <w:color w:val="851321" w:themeColor="accent6" w:themeShade="80"/>
                <w:sz w:val="24"/>
                <w:szCs w:val="24"/>
              </w:rPr>
              <w:t>课堂小结</w:t>
            </w:r>
          </w:p>
          <w:p w14:paraId="6822D827">
            <w:pPr>
              <w:spacing w:line="360" w:lineRule="auto"/>
              <w:jc w:val="center"/>
              <w:rPr>
                <w:rFonts w:ascii="Times New Roman" w:hAnsi="Times New Roman"/>
                <w:color w:val="249087" w:themeColor="accent5" w:themeShade="BF"/>
              </w:rPr>
            </w:pPr>
            <w:r>
              <w:rPr>
                <w:rFonts w:ascii="Times New Roman" w:hAnsi="Times New Roman"/>
                <w:color w:val="851321" w:themeColor="accent6" w:themeShade="80"/>
                <w:szCs w:val="24"/>
              </w:rPr>
              <w:t>（3</w:t>
            </w:r>
            <w:r>
              <w:rPr>
                <w:rFonts w:hint="eastAsia" w:ascii="Times New Roman" w:hAnsi="Times New Roman"/>
                <w:color w:val="851321" w:themeColor="accent6" w:themeShade="80"/>
                <w:szCs w:val="24"/>
              </w:rPr>
              <w:t>min</w:t>
            </w:r>
            <w:r>
              <w:rPr>
                <w:rFonts w:ascii="Times New Roman" w:hAnsi="Times New Roman"/>
                <w:color w:val="851321" w:themeColor="accent6" w:themeShade="80"/>
                <w:szCs w:val="24"/>
              </w:rPr>
              <w:t>）</w:t>
            </w:r>
          </w:p>
        </w:tc>
        <w:tc>
          <w:tcPr>
            <w:tcW w:w="7050" w:type="dxa"/>
            <w:tcBorders>
              <w:top w:val="dashSmallGap" w:color="4874CB" w:themeColor="accent1" w:sz="4" w:space="0"/>
              <w:left w:val="dashSmallGap" w:color="E54C5E" w:themeColor="accent6" w:sz="4" w:space="0"/>
              <w:bottom w:val="dashSmallGap" w:color="F4B382" w:themeColor="accent2" w:themeTint="99" w:sz="4" w:space="0"/>
              <w:right w:val="dashSmallGap" w:color="E54C5E" w:themeColor="accent6" w:sz="4" w:space="0"/>
            </w:tcBorders>
            <w:shd w:val="clear" w:color="auto" w:fill="F8FFF5"/>
            <w:vAlign w:val="center"/>
          </w:tcPr>
          <w:p w14:paraId="1EAEBC0A">
            <w:pPr>
              <w:spacing w:line="360" w:lineRule="auto"/>
              <w:rPr>
                <w:rFonts w:ascii="Times New Roman" w:hAnsi="Times New Roman"/>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回顾和总结本节课的知识点：</w:t>
            </w:r>
          </w:p>
          <w:p w14:paraId="5643C477">
            <w:pPr>
              <w:spacing w:line="360" w:lineRule="auto"/>
              <w:ind w:firstLine="420" w:firstLineChars="200"/>
              <w:rPr>
                <w:rFonts w:hint="eastAsia" w:ascii="Times New Roman" w:hAnsi="Times New Roman" w:eastAsia="宋体"/>
                <w:b/>
                <w:lang w:eastAsia="zh-CN"/>
              </w:rPr>
            </w:pPr>
            <w:r>
              <w:rPr>
                <w:rFonts w:hint="eastAsia" w:ascii="Times New Roman" w:hAnsi="Times New Roman"/>
                <w:b/>
              </w:rPr>
              <w:t>这节课</w:t>
            </w:r>
            <w:r>
              <w:rPr>
                <w:rFonts w:ascii="Times New Roman" w:hAnsi="Times New Roman"/>
                <w:b/>
              </w:rPr>
              <w:t>上一起学习了</w:t>
            </w:r>
            <w:r>
              <w:rPr>
                <w:rFonts w:hint="eastAsia" w:ascii="宋体" w:hAnsi="宋体" w:cs="宋体"/>
                <w:b/>
                <w:kern w:val="0"/>
                <w:szCs w:val="24"/>
              </w:rPr>
              <w:t>大学生常见的心理疾病及其应对</w:t>
            </w:r>
            <w:r>
              <w:rPr>
                <w:rFonts w:hint="eastAsia" w:ascii="Times New Roman" w:hAnsi="Times New Roman"/>
                <w:b/>
              </w:rPr>
              <w:t>。因此明白了心理疾病易感的人格特质加上强烈的负性生活事件刺激又有可能诱发严重的精神疾病。面对这些异常心理，应当做到“尽早发现、科学诊断、及时治疗”。</w:t>
            </w:r>
          </w:p>
          <w:p w14:paraId="4133753C">
            <w:pPr>
              <w:spacing w:line="360" w:lineRule="auto"/>
              <w:rPr>
                <w:rFonts w:ascii="Times New Roman" w:hAnsi="Times New Roman"/>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bCs/>
                <w:color w:val="CC0066"/>
              </w:rPr>
              <w:t>理解、记忆</w:t>
            </w:r>
          </w:p>
        </w:tc>
        <w:tc>
          <w:tcPr>
            <w:tcW w:w="1617" w:type="dxa"/>
            <w:tcBorders>
              <w:top w:val="dashSmallGap" w:color="4874CB" w:themeColor="accent1" w:sz="4" w:space="0"/>
              <w:left w:val="dashSmallGap" w:color="E54C5E" w:themeColor="accent6" w:sz="4" w:space="0"/>
              <w:bottom w:val="dashSmallGap" w:color="F4B382" w:themeColor="accent2" w:themeTint="99" w:sz="4" w:space="0"/>
            </w:tcBorders>
            <w:shd w:val="clear" w:color="auto" w:fill="F8FFF5"/>
            <w:vAlign w:val="center"/>
          </w:tcPr>
          <w:p w14:paraId="0BF15564">
            <w:pPr>
              <w:spacing w:line="360" w:lineRule="auto"/>
              <w:rPr>
                <w:rFonts w:ascii="Times New Roman" w:hAnsi="Times New Roman"/>
                <w:b w:val="0"/>
                <w:bCs/>
              </w:rPr>
            </w:pPr>
            <w:r>
              <w:rPr>
                <w:rFonts w:hint="eastAsia" w:ascii="Times New Roman" w:hAnsi="Times New Roman"/>
                <w:b w:val="0"/>
                <w:bCs/>
              </w:rPr>
              <w:t>通过对所学知识的回顾，培养学生的归纳总结能力。</w:t>
            </w:r>
          </w:p>
        </w:tc>
      </w:tr>
      <w:tr w14:paraId="0F70CB26">
        <w:trPr>
          <w:trHeight w:val="567" w:hRule="atLeast"/>
          <w:jc w:val="center"/>
        </w:trPr>
        <w:tc>
          <w:tcPr>
            <w:tcW w:w="1538" w:type="dxa"/>
            <w:tcBorders>
              <w:top w:val="dashSmallGap" w:color="F4B382" w:themeColor="accent2" w:themeTint="99" w:sz="4" w:space="0"/>
              <w:bottom w:val="dashSmallGap" w:color="F4B382" w:themeColor="accent2" w:themeTint="99" w:sz="4" w:space="0"/>
              <w:right w:val="dashSmallGap" w:color="F4B382" w:themeColor="accent2" w:themeTint="99" w:sz="4" w:space="0"/>
            </w:tcBorders>
            <w:shd w:val="clear" w:color="auto" w:fill="E3F2D9" w:themeFill="accent4" w:themeFillTint="32"/>
            <w:vAlign w:val="center"/>
          </w:tcPr>
          <w:p w14:paraId="29967899">
            <w:pPr>
              <w:spacing w:line="360" w:lineRule="auto"/>
              <w:jc w:val="center"/>
              <w:rPr>
                <w:rFonts w:ascii="Times New Roman" w:hAnsi="Times New Roman"/>
                <w:color w:val="249087" w:themeColor="accent5" w:themeShade="BF"/>
              </w:rPr>
            </w:pPr>
            <w:r>
              <w:rPr>
                <w:rFonts w:hint="eastAsia" w:ascii="微软雅黑" w:hAnsi="微软雅黑" w:eastAsia="微软雅黑"/>
                <w:b/>
                <w:color w:val="843F0B" w:themeColor="accent2" w:themeShade="80"/>
                <w:sz w:val="24"/>
                <w:szCs w:val="24"/>
              </w:rPr>
              <w:t>作业布置</w:t>
            </w:r>
            <w:r>
              <w:rPr>
                <w:rFonts w:ascii="Times New Roman" w:hAnsi="Times New Roman"/>
                <w:color w:val="843F0B" w:themeColor="accent2" w:themeShade="80"/>
                <w:szCs w:val="24"/>
              </w:rPr>
              <w:t>（2</w:t>
            </w:r>
            <w:r>
              <w:rPr>
                <w:rFonts w:hint="eastAsia" w:ascii="Times New Roman" w:hAnsi="Times New Roman"/>
                <w:color w:val="843F0B" w:themeColor="accent2" w:themeShade="80"/>
                <w:szCs w:val="24"/>
              </w:rPr>
              <w:t>min</w:t>
            </w:r>
            <w:r>
              <w:rPr>
                <w:rFonts w:ascii="Times New Roman" w:hAnsi="Times New Roman"/>
                <w:color w:val="843F0B" w:themeColor="accent2" w:themeShade="80"/>
                <w:szCs w:val="24"/>
              </w:rPr>
              <w:t>）</w:t>
            </w:r>
          </w:p>
        </w:tc>
        <w:tc>
          <w:tcPr>
            <w:tcW w:w="7050" w:type="dxa"/>
            <w:tcBorders>
              <w:top w:val="dashSmallGap" w:color="F4B382" w:themeColor="accent2" w:themeTint="99" w:sz="4" w:space="0"/>
              <w:left w:val="dashSmallGap" w:color="F4B382" w:themeColor="accent2" w:themeTint="99" w:sz="4" w:space="0"/>
              <w:bottom w:val="dashSmallGap" w:color="F4B382" w:themeColor="accent2" w:themeTint="99" w:sz="4" w:space="0"/>
              <w:right w:val="dashSmallGap" w:color="F4B382" w:themeColor="accent2" w:themeTint="99" w:sz="4" w:space="0"/>
            </w:tcBorders>
            <w:shd w:val="clear" w:color="auto" w:fill="FEFFE9"/>
            <w:vAlign w:val="center"/>
          </w:tcPr>
          <w:p w14:paraId="1EE19599">
            <w:pPr>
              <w:spacing w:line="360" w:lineRule="auto"/>
              <w:rPr>
                <w:rFonts w:ascii="Times New Roman" w:hAnsi="Times New Roma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rPr>
              <w:t>布置课后作业</w:t>
            </w:r>
          </w:p>
          <w:p w14:paraId="323B3DA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b/>
                <w:lang w:eastAsia="zh-CN"/>
              </w:rPr>
            </w:pPr>
            <w:r>
              <w:rPr>
                <w:rFonts w:hint="eastAsia" w:ascii="Times New Roman" w:hAnsi="Times New Roman"/>
                <w:b/>
                <w:lang w:eastAsia="zh-CN"/>
              </w:rPr>
              <w:t>简述</w:t>
            </w:r>
            <w:r>
              <w:rPr>
                <w:rFonts w:hint="eastAsia" w:ascii="Times New Roman" w:hAnsi="Times New Roman"/>
                <w:b/>
                <w:lang w:val="en-US" w:eastAsia="zh-CN"/>
              </w:rPr>
              <w:t>恐惧症的表现</w:t>
            </w:r>
            <w:r>
              <w:rPr>
                <w:rFonts w:hint="eastAsia" w:ascii="Times New Roman" w:hAnsi="Times New Roman"/>
                <w:b/>
                <w:lang w:eastAsia="zh-CN"/>
              </w:rPr>
              <w:t>。</w:t>
            </w:r>
          </w:p>
        </w:tc>
        <w:tc>
          <w:tcPr>
            <w:tcW w:w="1617" w:type="dxa"/>
            <w:tcBorders>
              <w:top w:val="dashSmallGap" w:color="F4B382" w:themeColor="accent2" w:themeTint="99" w:sz="4" w:space="0"/>
              <w:left w:val="dashSmallGap" w:color="F4B382" w:themeColor="accent2" w:themeTint="99" w:sz="4" w:space="0"/>
              <w:bottom w:val="dashSmallGap" w:color="F4B382" w:themeColor="accent2" w:themeTint="99" w:sz="4" w:space="0"/>
            </w:tcBorders>
            <w:shd w:val="clear" w:color="auto" w:fill="FEFFE9"/>
            <w:vAlign w:val="center"/>
          </w:tcPr>
          <w:p w14:paraId="729BC203">
            <w:pPr>
              <w:spacing w:line="360" w:lineRule="auto"/>
              <w:rPr>
                <w:rFonts w:ascii="Times New Roman" w:hAnsi="Times New Roman"/>
                <w:b w:val="0"/>
                <w:bCs/>
              </w:rPr>
            </w:pPr>
            <w:r>
              <w:rPr>
                <w:rFonts w:hint="eastAsia" w:ascii="Times New Roman" w:hAnsi="Times New Roman"/>
                <w:b w:val="0"/>
                <w:bCs/>
              </w:rPr>
              <w:t>通过课后练习，使学生巩固所学新知识</w:t>
            </w:r>
          </w:p>
        </w:tc>
      </w:tr>
      <w:tr w14:paraId="2E9C8FC5">
        <w:trPr>
          <w:trHeight w:val="567" w:hRule="atLeast"/>
          <w:jc w:val="center"/>
        </w:trPr>
        <w:tc>
          <w:tcPr>
            <w:tcW w:w="1538" w:type="dxa"/>
            <w:tcBorders>
              <w:top w:val="double" w:color="833F0A" w:themeColor="accent2" w:themeShade="7F" w:sz="4" w:space="0"/>
            </w:tcBorders>
            <w:shd w:val="clear" w:color="auto" w:fill="ACD78D" w:themeFill="accent4" w:themeFillTint="99"/>
            <w:vAlign w:val="center"/>
          </w:tcPr>
          <w:p w14:paraId="35DBBA56">
            <w:pPr>
              <w:spacing w:line="360" w:lineRule="auto"/>
              <w:jc w:val="center"/>
              <w:rPr>
                <w:rFonts w:ascii="微软雅黑" w:hAnsi="微软雅黑" w:eastAsia="微软雅黑"/>
                <w:b/>
                <w:color w:val="851321" w:themeColor="accent6" w:themeShade="80"/>
                <w:sz w:val="24"/>
                <w:szCs w:val="24"/>
              </w:rPr>
            </w:pPr>
            <w:r>
              <w:rPr>
                <w:rFonts w:hint="eastAsia" w:ascii="微软雅黑" w:hAnsi="微软雅黑" w:eastAsia="微软雅黑"/>
                <w:b/>
                <w:color w:val="843F0B" w:themeColor="accent2" w:themeShade="80"/>
                <w:sz w:val="24"/>
                <w:szCs w:val="24"/>
              </w:rPr>
              <w:t>教学反思</w:t>
            </w:r>
          </w:p>
        </w:tc>
        <w:tc>
          <w:tcPr>
            <w:tcW w:w="8667" w:type="dxa"/>
            <w:gridSpan w:val="2"/>
            <w:tcBorders>
              <w:top w:val="double" w:color="833F0A" w:themeColor="accent2" w:themeShade="7F" w:sz="4" w:space="0"/>
            </w:tcBorders>
            <w:shd w:val="clear" w:color="auto" w:fill="ACD78D" w:themeFill="accent4" w:themeFillTint="99"/>
            <w:vAlign w:val="center"/>
          </w:tcPr>
          <w:p w14:paraId="7D862DC6">
            <w:pPr>
              <w:spacing w:line="360" w:lineRule="auto"/>
              <w:rPr>
                <w:rFonts w:ascii="Times New Roman" w:hAnsi="Times New Roman"/>
              </w:rPr>
            </w:pPr>
            <w:r>
              <w:rPr>
                <w:rFonts w:hint="eastAsia" w:ascii="Times New Roman" w:hAnsi="Times New Roman"/>
              </w:rPr>
              <w:t>许多学生缺乏自信，课堂上不敢发言。因此，传授知识其实不是目的，心理健康课真正的目的是培养学生快乐健康，积极向上的`生活态度。</w:t>
            </w:r>
          </w:p>
        </w:tc>
      </w:tr>
    </w:tbl>
    <w:p w14:paraId="1CD61DC9"/>
    <w:p w14:paraId="2F472A12"/>
    <w:sectPr>
      <w:pgSz w:w="11906" w:h="16838"/>
      <w:pgMar w:top="567" w:right="567" w:bottom="567" w:left="567" w:header="567" w:footer="567"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CC"/>
    <w:family w:val="roman"/>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微软雅黑">
    <w:altName w:val="汉仪旗黑"/>
    <w:panose1 w:val="020B0503020204020204"/>
    <w:charset w:val="86"/>
    <w:family w:val="auto"/>
    <w:pitch w:val="default"/>
    <w:sig w:usb0="00000000" w:usb1="00000000" w:usb2="00000016" w:usb3="00000000" w:csb0="0004001F" w:csb1="00000000"/>
  </w:font>
  <w:font w:name="微软简老宋">
    <w:altName w:val="汉仪书宋二KW"/>
    <w:panose1 w:val="00000000000000000000"/>
    <w:charset w:val="00"/>
    <w:family w:val="auto"/>
    <w:pitch w:val="default"/>
    <w:sig w:usb0="00000000" w:usb1="00000000" w:usb2="00000000" w:usb3="00000000" w:csb0="00000000" w:csb1="00000000"/>
  </w:font>
  <w:font w:name="华文琥珀">
    <w:altName w:val="宋体-简"/>
    <w:panose1 w:val="02010800040101010101"/>
    <w:charset w:val="86"/>
    <w:family w:val="auto"/>
    <w:pitch w:val="default"/>
    <w:sig w:usb0="00000000" w:usb1="00000000" w:usb2="00000000" w:usb3="00000000" w:csb0="00040000" w:csb1="00000000"/>
  </w:font>
  <w:font w:name="Times New Roman Bold">
    <w:panose1 w:val="020205030504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儷宋 Pro">
    <w:panose1 w:val="02020300000000000000"/>
    <w:charset w:val="88"/>
    <w:family w:val="auto"/>
    <w:pitch w:val="default"/>
    <w:sig w:usb0="80000001" w:usb1="28091800" w:usb2="00000016" w:usb3="00000000" w:csb0="00100000" w:csb1="00000000"/>
  </w:font>
  <w:font w:name="宋体-简">
    <w:panose1 w:val="02010800040101010101"/>
    <w:charset w:val="86"/>
    <w:family w:val="auto"/>
    <w:pitch w:val="default"/>
    <w:sig w:usb0="00000001" w:usb1="080F0000" w:usb2="00000000" w:usb3="00000000" w:csb0="00040000" w:csb1="00000000"/>
  </w:font>
  <w:font w:name="汉仪旗黑">
    <w:panose1 w:val="00020600040101010101"/>
    <w:charset w:val="86"/>
    <w:family w:val="auto"/>
    <w:pitch w:val="default"/>
    <w:sig w:usb0="A00002BF" w:usb1="1ACF7CFA" w:usb2="00000016"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B4659">
    <w:pPr>
      <w:pStyle w:val="3"/>
    </w:pPr>
    <w:r>
      <w:rPr>
        <w:sz w:val="18"/>
      </w:rPr>
      <mc:AlternateContent>
        <mc:Choice Requires="wps">
          <w:drawing>
            <wp:anchor distT="0" distB="0" distL="114300" distR="114300" simplePos="0" relativeHeight="251662336" behindDoc="0" locked="0" layoutInCell="1" allowOverlap="1">
              <wp:simplePos x="0" y="0"/>
              <wp:positionH relativeFrom="column">
                <wp:posOffset>2927985</wp:posOffset>
              </wp:positionH>
              <wp:positionV relativeFrom="paragraph">
                <wp:posOffset>-3375660</wp:posOffset>
              </wp:positionV>
              <wp:extent cx="1343025" cy="447675"/>
              <wp:effectExtent l="0" t="0" r="9525" b="9525"/>
              <wp:wrapNone/>
              <wp:docPr id="4" name="矩形 4"/>
              <wp:cNvGraphicFramePr/>
              <a:graphic xmlns:a="http://schemas.openxmlformats.org/drawingml/2006/main">
                <a:graphicData uri="http://schemas.microsoft.com/office/word/2010/wordprocessingShape">
                  <wps:wsp>
                    <wps:cNvSpPr/>
                    <wps:spPr>
                      <a:xfrm>
                        <a:off x="3489960" y="6546850"/>
                        <a:ext cx="1343025" cy="447675"/>
                      </a:xfrm>
                      <a:prstGeom prst="rect">
                        <a:avLst/>
                      </a:prstGeom>
                      <a:solidFill>
                        <a:schemeClr val="bg1"/>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30.55pt;margin-top:-265.8pt;height:35.25pt;width:105.75pt;z-index:251662336;v-text-anchor:middle;mso-width-relative:page;mso-height-relative:page;" fillcolor="#FFFFFF [3212]" filled="t" stroked="f" coordsize="21600,21600" o:gfxdata="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DeNw4N2wAAAA0BAAAPAAAAAAAAAAEAIAAAACIA&#10;AABkcnMvZG93bnJldi54bWxQSwECFAAUAAAACACHTuJAS0vXEHgCAADXBAAADgAAAAAAAAABACAA&#10;AAAqAQAAZHJzL2Uyb0RvYy54bWxQSwUGAAAAAAYABgBZAQAAFAYAAAAA&#10;">
              <v:fill on="t" focussize="0,0"/>
              <v:stroke on="f" weight="1pt" miterlimit="8" joinstyle="miter"/>
              <v:imagedata o:title=""/>
              <o:lock v:ext="edit" aspectratio="f"/>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C397F">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6253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DF4CF">
    <w:pPr>
      <w:pStyle w:val="4"/>
    </w:pPr>
    <w:r>
      <w:drawing>
        <wp:anchor distT="0" distB="0" distL="114300" distR="114300" simplePos="0" relativeHeight="251659264" behindDoc="0" locked="0" layoutInCell="1" allowOverlap="1">
          <wp:simplePos x="0" y="0"/>
          <wp:positionH relativeFrom="column">
            <wp:posOffset>-1270</wp:posOffset>
          </wp:positionH>
          <wp:positionV relativeFrom="paragraph">
            <wp:posOffset>-55245</wp:posOffset>
          </wp:positionV>
          <wp:extent cx="6659880" cy="9719945"/>
          <wp:effectExtent l="125095" t="150495" r="130175" b="3159760"/>
          <wp:wrapNone/>
          <wp:docPr id="13" name="图片 13" descr="11_01"/>
          <wp:cNvGraphicFramePr/>
          <a:graphic xmlns:a="http://schemas.openxmlformats.org/drawingml/2006/main">
            <a:graphicData uri="http://schemas.openxmlformats.org/drawingml/2006/picture">
              <pic:pic xmlns:pic="http://schemas.openxmlformats.org/drawingml/2006/picture">
                <pic:nvPicPr>
                  <pic:cNvPr id="13" name="图片 13" descr="11_01"/>
                  <pic:cNvPicPr/>
                </pic:nvPicPr>
                <pic:blipFill>
                  <a:blip r:embed="rId1"/>
                  <a:stretch>
                    <a:fillRect/>
                  </a:stretch>
                </pic:blipFill>
                <pic:spPr>
                  <a:xfrm>
                    <a:off x="0" y="0"/>
                    <a:ext cx="6659880" cy="9719945"/>
                  </a:xfrm>
                  <a:prstGeom prst="rect">
                    <a:avLst/>
                  </a:prstGeom>
                  <a:effectLst>
                    <a:outerShdw blurRad="63500" sx="102000" sy="102000" algn="ctr" rotWithShape="0">
                      <a:prstClr val="black">
                        <a:alpha val="40000"/>
                      </a:prstClr>
                    </a:outerShdw>
                    <a:reflection blurRad="6350" stA="15000" endA="300" endPos="35000" dir="5400000" sy="-100000" algn="bl" rotWithShape="0"/>
                  </a:effectLst>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B7A733">
    <w:pPr>
      <w:pStyle w:val="4"/>
    </w:pPr>
    <w:r>
      <w:drawing>
        <wp:anchor distT="0" distB="0" distL="114300" distR="114300" simplePos="0" relativeHeight="251660288" behindDoc="0" locked="0" layoutInCell="1" allowOverlap="1">
          <wp:simplePos x="0" y="0"/>
          <wp:positionH relativeFrom="column">
            <wp:posOffset>-1270</wp:posOffset>
          </wp:positionH>
          <wp:positionV relativeFrom="paragraph">
            <wp:posOffset>-55245</wp:posOffset>
          </wp:positionV>
          <wp:extent cx="6659880" cy="9719945"/>
          <wp:effectExtent l="125095" t="150495" r="130175" b="3159760"/>
          <wp:wrapNone/>
          <wp:docPr id="1" name="图片 1" descr="11_01"/>
          <wp:cNvGraphicFramePr/>
          <a:graphic xmlns:a="http://schemas.openxmlformats.org/drawingml/2006/main">
            <a:graphicData uri="http://schemas.openxmlformats.org/drawingml/2006/picture">
              <pic:pic xmlns:pic="http://schemas.openxmlformats.org/drawingml/2006/picture">
                <pic:nvPicPr>
                  <pic:cNvPr id="1" name="图片 1" descr="11_01"/>
                  <pic:cNvPicPr/>
                </pic:nvPicPr>
                <pic:blipFill>
                  <a:blip r:embed="rId1"/>
                  <a:stretch>
                    <a:fillRect/>
                  </a:stretch>
                </pic:blipFill>
                <pic:spPr>
                  <a:xfrm>
                    <a:off x="0" y="0"/>
                    <a:ext cx="6659880" cy="9719945"/>
                  </a:xfrm>
                  <a:prstGeom prst="rect">
                    <a:avLst/>
                  </a:prstGeom>
                  <a:effectLst>
                    <a:outerShdw blurRad="63500" sx="102000" sy="102000" algn="ctr" rotWithShape="0">
                      <a:prstClr val="black">
                        <a:alpha val="40000"/>
                      </a:prstClr>
                    </a:outerShdw>
                    <a:reflection blurRad="6350" stA="15000" endA="300" endPos="35000" dir="5400000" sy="-100000" algn="bl" rotWithShape="0"/>
                  </a:effectLst>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5B17E">
    <w:pPr>
      <w:pStyle w:val="4"/>
      <w:pBdr>
        <w:bottom w:val="none" w:color="auto" w:sz="0" w:space="0"/>
      </w:pBdr>
    </w:pPr>
    <w:r>
      <w:rPr>
        <w:sz w:val="18"/>
      </w:rPr>
      <mc:AlternateContent>
        <mc:Choice Requires="wps">
          <w:drawing>
            <wp:anchor distT="0" distB="0" distL="114300" distR="114300" simplePos="0" relativeHeight="251663360" behindDoc="0" locked="0" layoutInCell="1" allowOverlap="1">
              <wp:simplePos x="0" y="0"/>
              <wp:positionH relativeFrom="column">
                <wp:posOffset>8890</wp:posOffset>
              </wp:positionH>
              <wp:positionV relativeFrom="paragraph">
                <wp:posOffset>-6985</wp:posOffset>
              </wp:positionV>
              <wp:extent cx="6841490" cy="9972040"/>
              <wp:effectExtent l="6350" t="6350" r="10160" b="22860"/>
              <wp:wrapNone/>
              <wp:docPr id="12" name="圆角矩形 12"/>
              <wp:cNvGraphicFramePr/>
              <a:graphic xmlns:a="http://schemas.openxmlformats.org/drawingml/2006/main">
                <a:graphicData uri="http://schemas.microsoft.com/office/word/2010/wordprocessingShape">
                  <wps:wsp>
                    <wps:cNvSpPr/>
                    <wps:spPr>
                      <a:xfrm>
                        <a:off x="0" y="0"/>
                        <a:ext cx="6841490" cy="9972040"/>
                      </a:xfrm>
                      <a:prstGeom prst="roundRect">
                        <a:avLst>
                          <a:gd name="adj" fmla="val 1693"/>
                        </a:avLst>
                      </a:prstGeom>
                      <a:solidFill>
                        <a:schemeClr val="bg1"/>
                      </a:solidFill>
                      <a:ln>
                        <a:gradFill>
                          <a:gsLst>
                            <a:gs pos="100000">
                              <a:srgbClr val="B3CED5"/>
                            </a:gs>
                            <a:gs pos="0">
                              <a:srgbClr val="DDE3D8"/>
                            </a:gs>
                          </a:gsLst>
                          <a:lin ang="5400000" scaled="0"/>
                        </a:gra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0.7pt;margin-top:-0.55pt;height:785.2pt;width:538.7pt;z-index:251663360;v-text-anchor:middle;mso-width-relative:page;mso-height-relative:page;" fillcolor="#FFFFFF [3212]" filled="t" stroked="t" coordsize="21600,21600" arcsize="0.0169444444444444" o:gfxdata="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">
              <v:fill on="t" focussize="0,0"/>
              <v:stroke weight="1pt" color="#000000" miterlimit="8" joinstyle="miter"/>
              <v:imagedata o:title=""/>
              <o:lock v:ext="edit" aspectratio="f"/>
            </v:roundrect>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91E6A">
    <w:pPr>
      <w:pStyle w:val="4"/>
      <w:pBdr>
        <w:bottom w:val="none" w:color="auto" w:sz="0" w:space="1"/>
      </w:pBdr>
    </w:pPr>
    <w:r>
      <w:rPr>
        <w:sz w:val="18"/>
      </w:rPr>
      <mc:AlternateContent>
        <mc:Choice Requires="wps">
          <w:drawing>
            <wp:anchor distT="0" distB="0" distL="114300" distR="114300" simplePos="0" relativeHeight="251664384" behindDoc="0" locked="0" layoutInCell="1" allowOverlap="1">
              <wp:simplePos x="0" y="0"/>
              <wp:positionH relativeFrom="column">
                <wp:posOffset>1905</wp:posOffset>
              </wp:positionH>
              <wp:positionV relativeFrom="paragraph">
                <wp:posOffset>-20320</wp:posOffset>
              </wp:positionV>
              <wp:extent cx="6841490" cy="9972040"/>
              <wp:effectExtent l="6350" t="6350" r="10160" b="22860"/>
              <wp:wrapNone/>
              <wp:docPr id="14" name="圆角矩形 14"/>
              <wp:cNvGraphicFramePr/>
              <a:graphic xmlns:a="http://schemas.openxmlformats.org/drawingml/2006/main">
                <a:graphicData uri="http://schemas.microsoft.com/office/word/2010/wordprocessingShape">
                  <wps:wsp>
                    <wps:cNvSpPr/>
                    <wps:spPr>
                      <a:xfrm>
                        <a:off x="0" y="0"/>
                        <a:ext cx="6841490" cy="9972040"/>
                      </a:xfrm>
                      <a:prstGeom prst="roundRect">
                        <a:avLst>
                          <a:gd name="adj" fmla="val 1693"/>
                        </a:avLst>
                      </a:prstGeom>
                      <a:solidFill>
                        <a:schemeClr val="bg1"/>
                      </a:solidFill>
                      <a:ln>
                        <a:gradFill>
                          <a:gsLst>
                            <a:gs pos="100000">
                              <a:srgbClr val="B3CED5"/>
                            </a:gs>
                            <a:gs pos="0">
                              <a:srgbClr val="DDE3D8"/>
                            </a:gs>
                          </a:gsLst>
                          <a:lin ang="5400000" scaled="0"/>
                        </a:gra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0.15pt;margin-top:-1.6pt;height:785.2pt;width:538.7pt;z-index:251664384;v-text-anchor:middle;mso-width-relative:page;mso-height-relative:page;" fillcolor="#FFFFFF [3212]" filled="t" stroked="t" coordsize="21600,21600" arcsize="0.0169444444444444" o:gfxdata="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">
              <v:fill on="t" focussize="0,0"/>
              <v:stroke weight="1pt" color="#000000" miterlimit="8" joinstyle="miter"/>
              <v:imagedata o:title=""/>
              <o:lock v:ext="edit" aspectratio="f"/>
            </v:round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853D99"/>
    <w:multiLevelType w:val="multilevel"/>
    <w:tmpl w:val="6A853D99"/>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A25437"/>
    <w:rsid w:val="1A5F23BB"/>
    <w:rsid w:val="1AEF4210"/>
    <w:rsid w:val="54A25437"/>
    <w:rsid w:val="5F4F5BF4"/>
    <w:rsid w:val="5F5B6638"/>
    <w:rsid w:val="6F7BFEF8"/>
    <w:rsid w:val="78ED93CF"/>
    <w:rsid w:val="7FB7AF4B"/>
    <w:rsid w:val="7FFF09C3"/>
    <w:rsid w:val="D56FBD9A"/>
    <w:rsid w:val="F3FFF982"/>
    <w:rsid w:val="FDF3D7AA"/>
    <w:rsid w:val="FF3654BB"/>
    <w:rsid w:val="FFFF6E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itle"/>
    <w:basedOn w:val="1"/>
    <w:qFormat/>
    <w:uiPriority w:val="0"/>
    <w:pPr>
      <w:spacing w:before="240" w:beforeLines="0" w:beforeAutospacing="0" w:after="60" w:afterLines="0" w:afterAutospacing="0"/>
      <w:jc w:val="center"/>
      <w:outlineLvl w:val="0"/>
    </w:pPr>
    <w:rPr>
      <w:rFonts w:ascii="Arial" w:hAnsi="Arial"/>
      <w:b/>
      <w:sz w:val="32"/>
    </w:rPr>
  </w:style>
  <w:style w:type="table" w:styleId="7">
    <w:name w:val="Table Grid"/>
    <w:basedOn w:val="6"/>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习题正文"/>
    <w:basedOn w:val="2"/>
    <w:next w:val="1"/>
    <w:qFormat/>
    <w:uiPriority w:val="0"/>
    <w:pPr>
      <w:adjustRightInd w:val="0"/>
      <w:spacing w:line="240" w:lineRule="auto"/>
      <w:ind w:firstLine="800" w:firstLineChars="200"/>
      <w:jc w:val="both"/>
    </w:pPr>
    <w:rPr>
      <w:rFonts w:hint="eastAsia" w:ascii="微软雅黑" w:hAnsi="微软雅黑" w:eastAsia="宋体" w:cs="微软雅黑"/>
      <w:color w:val="000000"/>
    </w:rPr>
  </w:style>
  <w:style w:type="paragraph" w:customStyle="1" w:styleId="10">
    <w:name w:val="本章学习"/>
    <w:basedOn w:val="5"/>
    <w:next w:val="1"/>
    <w:qFormat/>
    <w:uiPriority w:val="0"/>
    <w:pPr>
      <w:adjustRightInd w:val="0"/>
      <w:spacing w:line="288" w:lineRule="auto"/>
    </w:pPr>
    <w:rPr>
      <w:rFonts w:hint="eastAsia" w:ascii="微软雅黑" w:hAnsi="微软雅黑" w:eastAsia="微软雅黑" w:cs="微软雅黑"/>
      <w:color w:val="000000"/>
      <w:sz w:val="40"/>
    </w:rPr>
  </w:style>
  <w:style w:type="paragraph" w:customStyle="1" w:styleId="11">
    <w:name w:val="Heading #3|1"/>
    <w:basedOn w:val="1"/>
    <w:qFormat/>
    <w:uiPriority w:val="0"/>
    <w:pPr>
      <w:spacing w:after="160"/>
      <w:outlineLvl w:val="2"/>
    </w:pPr>
    <w:rPr>
      <w:rFonts w:ascii="宋体" w:hAnsi="宋体" w:cs="宋体"/>
      <w:color w:val="EC008D"/>
      <w:sz w:val="20"/>
      <w:szCs w:val="20"/>
      <w:lang w:val="zh-TW" w:eastAsia="zh-TW" w:bidi="zh-TW"/>
    </w:r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Body text|1"/>
    <w:basedOn w:val="1"/>
    <w:unhideWhenUsed/>
    <w:qFormat/>
    <w:uiPriority w:val="0"/>
    <w:pPr>
      <w:spacing w:line="360" w:lineRule="auto"/>
      <w:ind w:firstLine="400"/>
    </w:pPr>
    <w:rPr>
      <w:rFonts w:ascii="宋体" w:hAnsi="宋体" w:cs="宋体"/>
      <w:sz w:val="20"/>
      <w:szCs w:val="20"/>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jpeg"/><Relationship Id="rId10" Type="http://schemas.openxmlformats.org/officeDocument/2006/relationships/theme" Target="theme/theme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0</Words>
  <Characters>0</Characters>
  <Lines>0</Lines>
  <Paragraphs>0</Paragraphs>
  <TotalTime>73</TotalTime>
  <ScaleCrop>false</ScaleCrop>
  <LinksUpToDate>false</LinksUpToDate>
  <CharactersWithSpaces>0</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2025-07-10T10:53:00Z</dcterms:created>
  <dc:creator>六月</dc:creator>
  <cp:lastModifiedBy>无谓</cp:lastModifiedBy>
  <dcterms:modified xsi:type="dcterms:W3CDTF">2025-07-11T18:19:19Z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3650A8D29E44D4A217CB6C68474BDCAA_43</vt:lpwstr>
  </property>
  <property fmtid="{D5CDD505-2E9C-101B-9397-08002B2CF9AE}" pid="4" name="KSOTemplateDocerSaveRecord">
    <vt:lpwstr>eyJoZGlkIjoiOTcxZjc4Y2ViNTBlZDVmZTI3YTAxZGE1NWVmM2E2NDEiLCJ1c2VySWQiOiI0MDMzMDA2MzYifQ==</vt:lpwstr>
  </property>
</Properties>
</file>