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v:background id="_x0000_s1025">
      <v:fill type="frame" on="t" color2="#FFFFFF" o:title="Abstract white background" focussize="0,0" recolor="t" r:id="rId11"/>
    </v:background>
  </w:background>
  <w:body>
    <w:p w14:paraId="6B8FD70B">
      <w:pPr>
        <w:sectPr>
          <w:headerReference r:id="rId4" w:type="first"/>
          <w:footerReference r:id="rId5" w:type="first"/>
          <w:headerReference r:id="rId3" w:type="default"/>
          <w:pgSz w:w="11906" w:h="16838"/>
          <w:pgMar w:top="720" w:right="720" w:bottom="720" w:left="720" w:header="851" w:footer="850" w:gutter="0"/>
          <w:cols w:space="425" w:num="1"/>
          <w:titlePg/>
          <w:docGrid w:type="lines" w:linePitch="312" w:charSpace="0"/>
        </w:sectPr>
      </w:pPr>
      <w:r>
        <w:rPr>
          <w:sz w:val="21"/>
        </w:rPr>
        <mc:AlternateContent>
          <mc:Choice Requires="wps">
            <w:drawing>
              <wp:anchor distT="0" distB="0" distL="114300" distR="114300" simplePos="0" relativeHeight="251661312" behindDoc="0" locked="0" layoutInCell="1" allowOverlap="1">
                <wp:simplePos x="0" y="0"/>
                <wp:positionH relativeFrom="column">
                  <wp:posOffset>2186305</wp:posOffset>
                </wp:positionH>
                <wp:positionV relativeFrom="paragraph">
                  <wp:posOffset>5650865</wp:posOffset>
                </wp:positionV>
                <wp:extent cx="2258060" cy="7239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258060" cy="7239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8490D4">
                            <w:pPr>
                              <w:jc w:val="right"/>
                              <w:rPr>
                                <w:rFonts w:hint="default"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t>电子教案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2.15pt;margin-top:444.95pt;height:57pt;width:177.8pt;z-index:251661312;v-text-anchor:middle;mso-width-relative:page;mso-height-relative:page;" filled="f" stroked="f" coordsize="21600,21600" o:gfxdata="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RNYtsAAAAMAQAADwAAAAAAAAABACAAAAAiAAAA&#10;ZHJzL2Rvd25yZXYueG1sUEsBAhQAFAAAAAgAh07iQF2agWQ9AgAAaAQAAA4AAAAAAAAAAQAgAAAA&#10;KgEAAGRycy9lMm9Eb2MueG1sUEsFBgAAAAAGAAYAWQEAANkFAAAAAA==&#10;">
                <v:fill on="f" focussize="0,0"/>
                <v:stroke on="f" weight="0.5pt"/>
                <v:imagedata o:title=""/>
                <o:lock v:ext="edit" aspectratio="f"/>
                <v:textbox>
                  <w:txbxContent>
                    <w:p w14:paraId="278490D4">
                      <w:pPr>
                        <w:jc w:val="right"/>
                        <w:rPr>
                          <w:rFonts w:hint="default"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t>电子教案</w:t>
                      </w: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2277110</wp:posOffset>
                </wp:positionH>
                <wp:positionV relativeFrom="paragraph">
                  <wp:posOffset>8003540</wp:posOffset>
                </wp:positionV>
                <wp:extent cx="2076450" cy="438150"/>
                <wp:effectExtent l="0" t="0" r="0" b="0"/>
                <wp:wrapNone/>
                <wp:docPr id="7" name="文本框 7"/>
                <wp:cNvGraphicFramePr/>
                <a:graphic xmlns:a="http://schemas.openxmlformats.org/drawingml/2006/main">
                  <a:graphicData uri="http://schemas.microsoft.com/office/word/2010/wordprocessingShape">
                    <wps:wsp>
                      <wps:cNvSpPr txBox="1"/>
                      <wps:spPr>
                        <a:xfrm>
                          <a:off x="2747010" y="8328025"/>
                          <a:ext cx="2076450" cy="438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F6DC9DE">
                            <w:pPr>
                              <w:jc w:val="cente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t>北京出版社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9.3pt;margin-top:630.2pt;height:34.5pt;width:163.5pt;z-index:251660288;v-text-anchor:middle;mso-width-relative:page;mso-height-relative:page;" fillcolor="#FFFFFF [3201]" filled="t" stroked="f" coordsize="21600,21600" o:gfxdata="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V6gP8&#10;2AAAAA0BAAAPAAAAAAAAAAEAIAAAACIAAABkcnMvZG93bnJldi54bWxQSwECFAAUAAAACACHTuJA&#10;BMkuIFoCAACdBAAADgAAAAAAAAABACAAAAAnAQAAZHJzL2Uyb0RvYy54bWxQSwUGAAAAAAYABgBZ&#10;AQAA8wUAAAAA&#10;">
                <v:fill on="t" focussize="0,0"/>
                <v:stroke on="f" weight="0.5pt"/>
                <v:imagedata o:title=""/>
                <o:lock v:ext="edit" aspectratio="f"/>
                <v:textbox>
                  <w:txbxContent>
                    <w:p w14:paraId="6F6DC9DE">
                      <w:pPr>
                        <w:jc w:val="cente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t>北京出版社</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-15240</wp:posOffset>
                </wp:positionH>
                <wp:positionV relativeFrom="paragraph">
                  <wp:posOffset>3299460</wp:posOffset>
                </wp:positionV>
                <wp:extent cx="6659880" cy="899795"/>
                <wp:effectExtent l="0" t="0" r="7620" b="14605"/>
                <wp:wrapNone/>
                <wp:docPr id="9" name="矩形 9"/>
                <wp:cNvGraphicFramePr/>
                <a:graphic xmlns:a="http://schemas.openxmlformats.org/drawingml/2006/main">
                  <a:graphicData uri="http://schemas.microsoft.com/office/word/2010/wordprocessingShape">
                    <wps:wsp>
                      <wps:cNvSpPr/>
                      <wps:spPr>
                        <a:xfrm>
                          <a:off x="0" y="0"/>
                          <a:ext cx="6659880" cy="899795"/>
                        </a:xfrm>
                        <a:prstGeom prst="rect">
                          <a:avLst/>
                        </a:prstGeom>
                        <a:solidFill>
                          <a:srgbClr val="FDC100">
                            <a:alpha val="2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pt;margin-top:259.8pt;height:70.85pt;width:524.4pt;z-index:251659264;v-text-anchor:middle;mso-width-relative:page;mso-height-relative:page;" fillcolor="#FDC100" filled="t" stroked="f" coordsize="21600,21600" o:gfxdata="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FlBJ23YAAAACwEAAA8AAAAAAAAAAQAgAAAAIgAA&#10;AGRycy9kb3ducmV2LnhtbFBLAQIUABQAAAAIAIdO4kCC7LnhegIAAOwEAAAOAAAAAAAAAAEAIAAA&#10;ACcBAABkcnMvZTJvRG9jLnhtbFBLBQYAAAAABgAGAFkBAAATBgAAAAA=&#10;">
                <v:fill on="t" opacity="13107f"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434975</wp:posOffset>
                </wp:positionH>
                <wp:positionV relativeFrom="paragraph">
                  <wp:posOffset>3299460</wp:posOffset>
                </wp:positionV>
                <wp:extent cx="5760085" cy="899795"/>
                <wp:effectExtent l="0" t="0" r="0" b="0"/>
                <wp:wrapNone/>
                <wp:docPr id="6" name="文本框 6"/>
                <wp:cNvGraphicFramePr/>
                <a:graphic xmlns:a="http://schemas.openxmlformats.org/drawingml/2006/main">
                  <a:graphicData uri="http://schemas.microsoft.com/office/word/2010/wordprocessingShape">
                    <wps:wsp>
                      <wps:cNvSpPr txBox="1"/>
                      <wps:spPr>
                        <a:xfrm>
                          <a:off x="0" y="0"/>
                          <a:ext cx="5760085" cy="899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DB3A94">
                            <w:pPr>
                              <w:rPr>
                                <w:rFonts w:hint="eastAsia"/>
                                <w:b/>
                                <w:bCs w:val="0"/>
                                <w:sz w:val="96"/>
                                <w:szCs w:val="96"/>
                                <w:lang w:val="en-US" w:eastAsia="zh-CN"/>
                              </w:rPr>
                            </w:pPr>
                            <w:r>
                              <w:rPr>
                                <w:rFonts w:hint="eastAsia"/>
                                <w:b/>
                                <w:bCs w:val="0"/>
                                <w:sz w:val="96"/>
                                <w:szCs w:val="96"/>
                                <w:lang w:val="en-US" w:eastAsia="zh-CN"/>
                              </w:rPr>
                              <w:t>大学生心理健康教育</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25pt;margin-top:259.8pt;height:70.85pt;width:453.55pt;z-index:251659264;mso-width-relative:page;mso-height-relative:page;" filled="f" stroked="f" coordsize="21600,21600" o:gfxdata="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&#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BsabbAAAACgEAAA8AAAAAAAAAAQAgAAAAIgAAAGRy&#10;cy9kb3ducmV2LnhtbFBLAQIUABQAAAAIAIdO4kCt3xwZOwIAAGYEAAAOAAAAAAAAAAEAIAAAACoB&#10;AABkcnMvZTJvRG9jLnhtbFBLBQYAAAAABgAGAFkBAADXBQAAAAA=&#10;">
                <v:fill on="f" focussize="0,0"/>
                <v:stroke on="f" weight="0.5pt"/>
                <v:imagedata o:title=""/>
                <o:lock v:ext="edit" aspectratio="f"/>
                <v:textbox>
                  <w:txbxContent>
                    <w:p w14:paraId="1DDB3A94">
                      <w:pPr>
                        <w:rPr>
                          <w:rFonts w:hint="eastAsia"/>
                          <w:b/>
                          <w:bCs w:val="0"/>
                          <w:sz w:val="96"/>
                          <w:szCs w:val="96"/>
                          <w:lang w:val="en-US" w:eastAsia="zh-CN"/>
                        </w:rPr>
                      </w:pPr>
                      <w:r>
                        <w:rPr>
                          <w:rFonts w:hint="eastAsia"/>
                          <w:b/>
                          <w:bCs w:val="0"/>
                          <w:sz w:val="96"/>
                          <w:szCs w:val="96"/>
                          <w:lang w:val="en-US" w:eastAsia="zh-CN"/>
                        </w:rPr>
                        <w:t>大学生心理健康教育</w:t>
                      </w:r>
                    </w:p>
                  </w:txbxContent>
                </v:textbox>
              </v:shape>
            </w:pict>
          </mc:Fallback>
        </mc:AlternateContent>
      </w:r>
    </w:p>
    <w:p w14:paraId="341C0E38">
      <w:pPr>
        <w:keepNext/>
        <w:keepLines/>
        <w:spacing w:before="240" w:after="240" w:line="720" w:lineRule="auto"/>
        <w:jc w:val="center"/>
        <w:outlineLvl w:val="0"/>
        <w:rPr>
          <w:rFonts w:ascii="黑体" w:hAnsi="黑体" w:eastAsia="黑体"/>
          <w:b/>
          <w:bCs/>
          <w:kern w:val="44"/>
          <w:sz w:val="36"/>
          <w:szCs w:val="36"/>
        </w:rPr>
      </w:pPr>
      <w:r>
        <w:rPr>
          <w:rFonts w:ascii="黑体" w:hAnsi="黑体" w:eastAsia="黑体"/>
          <w:b/>
          <w:bCs/>
          <w:kern w:val="44"/>
          <w:sz w:val="36"/>
          <w:szCs w:val="36"/>
        </w:rPr>
        <w:t>课时安排</w:t>
      </w:r>
    </w:p>
    <w:tbl>
      <w:tblPr>
        <w:tblStyle w:val="6"/>
        <w:tblW w:w="10205" w:type="dxa"/>
        <w:jc w:val="center"/>
        <w:tblBorders>
          <w:top w:val="double" w:color="3A5E20" w:themeColor="accent4" w:themeShade="7F" w:sz="4" w:space="0"/>
          <w:left w:val="double" w:color="3A5E20" w:themeColor="accent4" w:themeShade="7F" w:sz="4" w:space="0"/>
          <w:bottom w:val="double" w:color="3A5E20" w:themeColor="accent4" w:themeShade="7F" w:sz="4" w:space="0"/>
          <w:right w:val="double" w:color="3A5E20" w:themeColor="accent4" w:themeShade="7F" w:sz="4" w:space="0"/>
          <w:insideH w:val="single" w:color="3A5E20" w:themeColor="accent4" w:themeShade="7F" w:sz="4" w:space="0"/>
          <w:insideV w:val="single" w:color="3A5E20" w:themeColor="accent4" w:themeShade="7F" w:sz="4" w:space="0"/>
        </w:tblBorders>
        <w:tblLayout w:type="autofit"/>
        <w:tblCellMar>
          <w:top w:w="0" w:type="dxa"/>
          <w:left w:w="108" w:type="dxa"/>
          <w:bottom w:w="0" w:type="dxa"/>
          <w:right w:w="108" w:type="dxa"/>
        </w:tblCellMar>
      </w:tblPr>
      <w:tblGrid>
        <w:gridCol w:w="1183"/>
        <w:gridCol w:w="5120"/>
        <w:gridCol w:w="2150"/>
        <w:gridCol w:w="1752"/>
      </w:tblGrid>
      <w:tr w14:paraId="57457DD3">
        <w:trPr>
          <w:cantSplit/>
          <w:trHeight w:val="850" w:hRule="atLeast"/>
          <w:jc w:val="center"/>
        </w:trPr>
        <w:tc>
          <w:tcPr>
            <w:tcW w:w="954" w:type="dxa"/>
            <w:tcBorders>
              <w:tl2br w:val="nil"/>
              <w:tr2bl w:val="nil"/>
            </w:tcBorders>
            <w:shd w:val="clear" w:color="auto" w:fill="C7E4B3" w:themeFill="accent4" w:themeFillTint="66"/>
            <w:vAlign w:val="center"/>
          </w:tcPr>
          <w:p w14:paraId="1FED9E2C">
            <w:pPr>
              <w:spacing w:line="360" w:lineRule="auto"/>
              <w:ind w:leftChars="-8" w:hanging="17" w:hangingChars="7"/>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章节</w:t>
            </w:r>
          </w:p>
        </w:tc>
        <w:tc>
          <w:tcPr>
            <w:tcW w:w="4128" w:type="dxa"/>
            <w:tcBorders>
              <w:tl2br w:val="nil"/>
              <w:tr2bl w:val="nil"/>
            </w:tcBorders>
            <w:shd w:val="clear" w:color="auto" w:fill="C7E4B3" w:themeFill="accent4" w:themeFillTint="66"/>
            <w:vAlign w:val="center"/>
          </w:tcPr>
          <w:p w14:paraId="39F7AED3">
            <w:pPr>
              <w:spacing w:line="360" w:lineRule="auto"/>
              <w:ind w:firstLine="26"/>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课程内容</w:t>
            </w:r>
          </w:p>
        </w:tc>
        <w:tc>
          <w:tcPr>
            <w:tcW w:w="1733" w:type="dxa"/>
            <w:tcBorders>
              <w:tl2br w:val="nil"/>
              <w:tr2bl w:val="nil"/>
            </w:tcBorders>
            <w:shd w:val="clear" w:color="auto" w:fill="C7E4B3" w:themeFill="accent4" w:themeFillTint="66"/>
            <w:vAlign w:val="center"/>
          </w:tcPr>
          <w:p w14:paraId="4B8B02E2">
            <w:pPr>
              <w:spacing w:line="360" w:lineRule="auto"/>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课 时</w:t>
            </w:r>
          </w:p>
        </w:tc>
        <w:tc>
          <w:tcPr>
            <w:tcW w:w="1412" w:type="dxa"/>
            <w:tcBorders>
              <w:tl2br w:val="nil"/>
              <w:tr2bl w:val="nil"/>
            </w:tcBorders>
            <w:shd w:val="clear" w:color="auto" w:fill="C7E4B3" w:themeFill="accent4" w:themeFillTint="66"/>
            <w:vAlign w:val="center"/>
          </w:tcPr>
          <w:p w14:paraId="7705041B">
            <w:pPr>
              <w:spacing w:line="360" w:lineRule="auto"/>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备 注</w:t>
            </w:r>
          </w:p>
        </w:tc>
      </w:tr>
      <w:tr w14:paraId="43FBEF2F">
        <w:trPr>
          <w:trHeight w:val="850" w:hRule="atLeast"/>
          <w:jc w:val="center"/>
        </w:trPr>
        <w:tc>
          <w:tcPr>
            <w:tcW w:w="954" w:type="dxa"/>
            <w:tcBorders>
              <w:tl2br w:val="nil"/>
              <w:tr2bl w:val="nil"/>
            </w:tcBorders>
            <w:shd w:val="clear" w:color="auto" w:fill="auto"/>
            <w:vAlign w:val="center"/>
          </w:tcPr>
          <w:p w14:paraId="6649F03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4128" w:type="dxa"/>
            <w:tcBorders>
              <w:tl2br w:val="nil"/>
              <w:tr2bl w:val="nil"/>
            </w:tcBorders>
            <w:shd w:val="clear" w:color="auto" w:fill="auto"/>
            <w:vAlign w:val="center"/>
          </w:tcPr>
          <w:p w14:paraId="3B9784A1">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大学生心理健康导论</w:t>
            </w:r>
          </w:p>
        </w:tc>
        <w:tc>
          <w:tcPr>
            <w:tcW w:w="1733" w:type="dxa"/>
            <w:tcBorders>
              <w:tl2br w:val="nil"/>
              <w:tr2bl w:val="nil"/>
            </w:tcBorders>
            <w:shd w:val="clear" w:color="auto" w:fill="auto"/>
            <w:vAlign w:val="center"/>
          </w:tcPr>
          <w:p w14:paraId="0B37F85D">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2</w:t>
            </w:r>
          </w:p>
        </w:tc>
        <w:tc>
          <w:tcPr>
            <w:tcW w:w="1412" w:type="dxa"/>
            <w:tcBorders>
              <w:tl2br w:val="nil"/>
              <w:tr2bl w:val="nil"/>
            </w:tcBorders>
            <w:shd w:val="clear" w:color="auto" w:fill="auto"/>
            <w:vAlign w:val="center"/>
          </w:tcPr>
          <w:p w14:paraId="75D739D1">
            <w:pPr>
              <w:spacing w:line="360" w:lineRule="auto"/>
              <w:ind w:firstLine="425"/>
              <w:jc w:val="center"/>
              <w:rPr>
                <w:rFonts w:hint="eastAsia" w:ascii="宋体" w:hAnsi="宋体" w:eastAsia="宋体" w:cs="宋体"/>
                <w:sz w:val="24"/>
                <w:szCs w:val="24"/>
              </w:rPr>
            </w:pPr>
          </w:p>
        </w:tc>
      </w:tr>
      <w:tr w14:paraId="19382045">
        <w:trPr>
          <w:trHeight w:val="850" w:hRule="atLeast"/>
          <w:jc w:val="center"/>
        </w:trPr>
        <w:tc>
          <w:tcPr>
            <w:tcW w:w="954" w:type="dxa"/>
            <w:tcBorders>
              <w:tl2br w:val="nil"/>
              <w:tr2bl w:val="nil"/>
            </w:tcBorders>
            <w:shd w:val="clear" w:color="auto" w:fill="auto"/>
            <w:vAlign w:val="center"/>
          </w:tcPr>
          <w:p w14:paraId="5E9D9E4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4128" w:type="dxa"/>
            <w:tcBorders>
              <w:tl2br w:val="nil"/>
              <w:tr2bl w:val="nil"/>
            </w:tcBorders>
            <w:shd w:val="clear" w:color="auto" w:fill="auto"/>
            <w:vAlign w:val="center"/>
          </w:tcPr>
          <w:p w14:paraId="309051CB">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大学生心理咨询与心理治疗</w:t>
            </w:r>
          </w:p>
        </w:tc>
        <w:tc>
          <w:tcPr>
            <w:tcW w:w="1733" w:type="dxa"/>
            <w:tcBorders>
              <w:tl2br w:val="nil"/>
              <w:tr2bl w:val="nil"/>
            </w:tcBorders>
            <w:shd w:val="clear" w:color="auto" w:fill="auto"/>
            <w:vAlign w:val="center"/>
          </w:tcPr>
          <w:p w14:paraId="4BFC92C3">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3</w:t>
            </w:r>
          </w:p>
        </w:tc>
        <w:tc>
          <w:tcPr>
            <w:tcW w:w="1412" w:type="dxa"/>
            <w:tcBorders>
              <w:tl2br w:val="nil"/>
              <w:tr2bl w:val="nil"/>
            </w:tcBorders>
            <w:shd w:val="clear" w:color="auto" w:fill="auto"/>
            <w:vAlign w:val="center"/>
          </w:tcPr>
          <w:p w14:paraId="6C46B2E9">
            <w:pPr>
              <w:spacing w:line="360" w:lineRule="auto"/>
              <w:ind w:firstLine="425"/>
              <w:jc w:val="center"/>
              <w:rPr>
                <w:rFonts w:hint="eastAsia" w:ascii="宋体" w:hAnsi="宋体" w:eastAsia="宋体" w:cs="宋体"/>
                <w:sz w:val="24"/>
                <w:szCs w:val="24"/>
              </w:rPr>
            </w:pPr>
          </w:p>
        </w:tc>
      </w:tr>
      <w:tr w14:paraId="36067FB2">
        <w:trPr>
          <w:trHeight w:val="850" w:hRule="atLeast"/>
          <w:jc w:val="center"/>
        </w:trPr>
        <w:tc>
          <w:tcPr>
            <w:tcW w:w="954" w:type="dxa"/>
            <w:tcBorders>
              <w:tl2br w:val="nil"/>
              <w:tr2bl w:val="nil"/>
            </w:tcBorders>
            <w:shd w:val="clear" w:color="auto" w:fill="auto"/>
            <w:vAlign w:val="center"/>
          </w:tcPr>
          <w:p w14:paraId="35B311B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4128" w:type="dxa"/>
            <w:tcBorders>
              <w:tl2br w:val="nil"/>
              <w:tr2bl w:val="nil"/>
            </w:tcBorders>
            <w:shd w:val="clear" w:color="auto" w:fill="auto"/>
            <w:vAlign w:val="center"/>
          </w:tcPr>
          <w:p w14:paraId="059089F5">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大学生常见心理困惑与异常心理</w:t>
            </w:r>
          </w:p>
        </w:tc>
        <w:tc>
          <w:tcPr>
            <w:tcW w:w="1733" w:type="dxa"/>
            <w:tcBorders>
              <w:tl2br w:val="nil"/>
              <w:tr2bl w:val="nil"/>
            </w:tcBorders>
            <w:shd w:val="clear" w:color="auto" w:fill="auto"/>
            <w:vAlign w:val="center"/>
          </w:tcPr>
          <w:p w14:paraId="08231BD6">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2</w:t>
            </w:r>
          </w:p>
        </w:tc>
        <w:tc>
          <w:tcPr>
            <w:tcW w:w="1412" w:type="dxa"/>
            <w:tcBorders>
              <w:tl2br w:val="nil"/>
              <w:tr2bl w:val="nil"/>
            </w:tcBorders>
            <w:shd w:val="clear" w:color="auto" w:fill="auto"/>
            <w:vAlign w:val="center"/>
          </w:tcPr>
          <w:p w14:paraId="3D0BE08D">
            <w:pPr>
              <w:spacing w:line="360" w:lineRule="auto"/>
              <w:ind w:firstLine="425"/>
              <w:jc w:val="center"/>
              <w:rPr>
                <w:rFonts w:hint="eastAsia" w:ascii="宋体" w:hAnsi="宋体" w:eastAsia="宋体" w:cs="宋体"/>
                <w:sz w:val="24"/>
                <w:szCs w:val="24"/>
              </w:rPr>
            </w:pPr>
          </w:p>
        </w:tc>
      </w:tr>
      <w:tr w14:paraId="247E5755">
        <w:trPr>
          <w:trHeight w:val="850" w:hRule="atLeast"/>
          <w:jc w:val="center"/>
        </w:trPr>
        <w:tc>
          <w:tcPr>
            <w:tcW w:w="954" w:type="dxa"/>
            <w:tcBorders>
              <w:tl2br w:val="nil"/>
              <w:tr2bl w:val="nil"/>
            </w:tcBorders>
            <w:shd w:val="clear" w:color="auto" w:fill="auto"/>
            <w:vAlign w:val="center"/>
          </w:tcPr>
          <w:p w14:paraId="559FDEE8">
            <w:pPr>
              <w:spacing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4128" w:type="dxa"/>
            <w:tcBorders>
              <w:tl2br w:val="nil"/>
              <w:tr2bl w:val="nil"/>
            </w:tcBorders>
            <w:shd w:val="clear" w:color="auto" w:fill="auto"/>
            <w:vAlign w:val="center"/>
          </w:tcPr>
          <w:p w14:paraId="61D57F4A">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大学生自我意识与培养</w:t>
            </w:r>
          </w:p>
        </w:tc>
        <w:tc>
          <w:tcPr>
            <w:tcW w:w="1733" w:type="dxa"/>
            <w:tcBorders>
              <w:tl2br w:val="nil"/>
              <w:tr2bl w:val="nil"/>
            </w:tcBorders>
            <w:shd w:val="clear" w:color="auto" w:fill="auto"/>
            <w:vAlign w:val="center"/>
          </w:tcPr>
          <w:p w14:paraId="0E1B835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0419FCBA">
            <w:pPr>
              <w:spacing w:line="360" w:lineRule="auto"/>
              <w:ind w:firstLine="425"/>
              <w:jc w:val="center"/>
              <w:rPr>
                <w:rFonts w:hint="eastAsia" w:ascii="宋体" w:hAnsi="宋体" w:eastAsia="宋体" w:cs="宋体"/>
                <w:sz w:val="24"/>
                <w:szCs w:val="24"/>
              </w:rPr>
            </w:pPr>
          </w:p>
        </w:tc>
      </w:tr>
      <w:tr w14:paraId="72D69555">
        <w:trPr>
          <w:trHeight w:val="850" w:hRule="atLeast"/>
          <w:jc w:val="center"/>
        </w:trPr>
        <w:tc>
          <w:tcPr>
            <w:tcW w:w="954" w:type="dxa"/>
            <w:tcBorders>
              <w:tl2br w:val="nil"/>
              <w:tr2bl w:val="nil"/>
            </w:tcBorders>
            <w:shd w:val="clear" w:color="auto" w:fill="auto"/>
            <w:vAlign w:val="center"/>
          </w:tcPr>
          <w:p w14:paraId="22D60CE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4128" w:type="dxa"/>
            <w:tcBorders>
              <w:tl2br w:val="nil"/>
              <w:tr2bl w:val="nil"/>
            </w:tcBorders>
            <w:shd w:val="clear" w:color="auto" w:fill="auto"/>
            <w:vAlign w:val="center"/>
          </w:tcPr>
          <w:p w14:paraId="5BDE5723">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大学生人格发展与培养</w:t>
            </w:r>
          </w:p>
        </w:tc>
        <w:tc>
          <w:tcPr>
            <w:tcW w:w="1733" w:type="dxa"/>
            <w:tcBorders>
              <w:tl2br w:val="nil"/>
              <w:tr2bl w:val="nil"/>
            </w:tcBorders>
            <w:shd w:val="clear" w:color="auto" w:fill="auto"/>
            <w:vAlign w:val="center"/>
          </w:tcPr>
          <w:p w14:paraId="25E2B8C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7351FBD9">
            <w:pPr>
              <w:spacing w:line="360" w:lineRule="auto"/>
              <w:ind w:firstLine="425"/>
              <w:jc w:val="center"/>
              <w:rPr>
                <w:rFonts w:hint="eastAsia" w:ascii="宋体" w:hAnsi="宋体" w:eastAsia="宋体" w:cs="宋体"/>
                <w:sz w:val="24"/>
                <w:szCs w:val="24"/>
              </w:rPr>
            </w:pPr>
          </w:p>
        </w:tc>
      </w:tr>
      <w:tr w14:paraId="48C1D7A8">
        <w:trPr>
          <w:trHeight w:val="850" w:hRule="atLeast"/>
          <w:jc w:val="center"/>
        </w:trPr>
        <w:tc>
          <w:tcPr>
            <w:tcW w:w="954" w:type="dxa"/>
            <w:tcBorders>
              <w:tl2br w:val="nil"/>
              <w:tr2bl w:val="nil"/>
            </w:tcBorders>
            <w:shd w:val="clear" w:color="auto" w:fill="auto"/>
            <w:vAlign w:val="center"/>
          </w:tcPr>
          <w:p w14:paraId="6D8A7B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4128" w:type="dxa"/>
            <w:tcBorders>
              <w:tl2br w:val="nil"/>
              <w:tr2bl w:val="nil"/>
            </w:tcBorders>
            <w:shd w:val="clear" w:color="auto" w:fill="auto"/>
            <w:vAlign w:val="center"/>
          </w:tcPr>
          <w:p w14:paraId="6074B705">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大学生职业生涯规划与择业心理 </w:t>
            </w:r>
          </w:p>
        </w:tc>
        <w:tc>
          <w:tcPr>
            <w:tcW w:w="1733" w:type="dxa"/>
            <w:tcBorders>
              <w:tl2br w:val="nil"/>
              <w:tr2bl w:val="nil"/>
            </w:tcBorders>
            <w:shd w:val="clear" w:color="auto" w:fill="auto"/>
            <w:vAlign w:val="center"/>
          </w:tcPr>
          <w:p w14:paraId="2A6B19A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4CE4B7C8">
            <w:pPr>
              <w:spacing w:line="360" w:lineRule="auto"/>
              <w:ind w:firstLine="425"/>
              <w:jc w:val="center"/>
              <w:rPr>
                <w:rFonts w:hint="eastAsia" w:ascii="宋体" w:hAnsi="宋体" w:eastAsia="宋体" w:cs="宋体"/>
                <w:sz w:val="24"/>
                <w:szCs w:val="24"/>
              </w:rPr>
            </w:pPr>
          </w:p>
        </w:tc>
      </w:tr>
      <w:tr w14:paraId="2C1E77FF">
        <w:trPr>
          <w:trHeight w:val="850" w:hRule="atLeast"/>
          <w:jc w:val="center"/>
        </w:trPr>
        <w:tc>
          <w:tcPr>
            <w:tcW w:w="954" w:type="dxa"/>
            <w:tcBorders>
              <w:tl2br w:val="nil"/>
              <w:tr2bl w:val="nil"/>
            </w:tcBorders>
            <w:shd w:val="clear" w:color="auto" w:fill="auto"/>
            <w:vAlign w:val="center"/>
          </w:tcPr>
          <w:p w14:paraId="611789F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7</w:t>
            </w:r>
          </w:p>
        </w:tc>
        <w:tc>
          <w:tcPr>
            <w:tcW w:w="4128" w:type="dxa"/>
            <w:tcBorders>
              <w:tl2br w:val="nil"/>
              <w:tr2bl w:val="nil"/>
            </w:tcBorders>
            <w:shd w:val="clear" w:color="auto" w:fill="auto"/>
            <w:vAlign w:val="center"/>
          </w:tcPr>
          <w:p w14:paraId="2988A971">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大学生学习心理与创造性思维培养 </w:t>
            </w:r>
          </w:p>
        </w:tc>
        <w:tc>
          <w:tcPr>
            <w:tcW w:w="1733" w:type="dxa"/>
            <w:tcBorders>
              <w:tl2br w:val="nil"/>
              <w:tr2bl w:val="nil"/>
            </w:tcBorders>
            <w:shd w:val="clear" w:color="auto" w:fill="auto"/>
            <w:vAlign w:val="center"/>
          </w:tcPr>
          <w:p w14:paraId="252844E2">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4</w:t>
            </w:r>
          </w:p>
        </w:tc>
        <w:tc>
          <w:tcPr>
            <w:tcW w:w="1412" w:type="dxa"/>
            <w:tcBorders>
              <w:tl2br w:val="nil"/>
              <w:tr2bl w:val="nil"/>
            </w:tcBorders>
            <w:shd w:val="clear" w:color="auto" w:fill="auto"/>
            <w:vAlign w:val="center"/>
          </w:tcPr>
          <w:p w14:paraId="05A76096">
            <w:pPr>
              <w:spacing w:line="360" w:lineRule="auto"/>
              <w:ind w:firstLine="425"/>
              <w:jc w:val="center"/>
              <w:rPr>
                <w:rFonts w:hint="eastAsia" w:ascii="宋体" w:hAnsi="宋体" w:eastAsia="宋体" w:cs="宋体"/>
                <w:sz w:val="24"/>
                <w:szCs w:val="24"/>
              </w:rPr>
            </w:pPr>
          </w:p>
        </w:tc>
      </w:tr>
      <w:tr w14:paraId="200F0F2B">
        <w:trPr>
          <w:trHeight w:val="850" w:hRule="atLeast"/>
          <w:jc w:val="center"/>
        </w:trPr>
        <w:tc>
          <w:tcPr>
            <w:tcW w:w="954" w:type="dxa"/>
            <w:tcBorders>
              <w:tl2br w:val="nil"/>
              <w:tr2bl w:val="nil"/>
            </w:tcBorders>
            <w:shd w:val="clear" w:color="auto" w:fill="auto"/>
            <w:vAlign w:val="center"/>
          </w:tcPr>
          <w:p w14:paraId="0190FD2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8</w:t>
            </w:r>
          </w:p>
        </w:tc>
        <w:tc>
          <w:tcPr>
            <w:tcW w:w="4128" w:type="dxa"/>
            <w:tcBorders>
              <w:tl2br w:val="nil"/>
              <w:tr2bl w:val="nil"/>
            </w:tcBorders>
            <w:shd w:val="clear" w:color="auto" w:fill="auto"/>
            <w:vAlign w:val="center"/>
          </w:tcPr>
          <w:p w14:paraId="4A196BA9">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大学生情绪管理</w:t>
            </w:r>
          </w:p>
        </w:tc>
        <w:tc>
          <w:tcPr>
            <w:tcW w:w="1733" w:type="dxa"/>
            <w:tcBorders>
              <w:tl2br w:val="nil"/>
              <w:tr2bl w:val="nil"/>
            </w:tcBorders>
            <w:shd w:val="clear" w:color="auto" w:fill="auto"/>
            <w:vAlign w:val="center"/>
          </w:tcPr>
          <w:p w14:paraId="4D2A56FD">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4</w:t>
            </w:r>
          </w:p>
        </w:tc>
        <w:tc>
          <w:tcPr>
            <w:tcW w:w="1412" w:type="dxa"/>
            <w:tcBorders>
              <w:tl2br w:val="nil"/>
              <w:tr2bl w:val="nil"/>
            </w:tcBorders>
            <w:shd w:val="clear" w:color="auto" w:fill="auto"/>
            <w:vAlign w:val="center"/>
          </w:tcPr>
          <w:p w14:paraId="2FE338AC">
            <w:pPr>
              <w:spacing w:line="360" w:lineRule="auto"/>
              <w:ind w:firstLine="425"/>
              <w:jc w:val="center"/>
              <w:rPr>
                <w:rFonts w:hint="eastAsia" w:ascii="宋体" w:hAnsi="宋体" w:eastAsia="宋体" w:cs="宋体"/>
                <w:sz w:val="24"/>
                <w:szCs w:val="24"/>
              </w:rPr>
            </w:pPr>
          </w:p>
        </w:tc>
      </w:tr>
      <w:tr w14:paraId="0D3209A5">
        <w:trPr>
          <w:trHeight w:val="850" w:hRule="atLeast"/>
          <w:jc w:val="center"/>
        </w:trPr>
        <w:tc>
          <w:tcPr>
            <w:tcW w:w="954" w:type="dxa"/>
            <w:tcBorders>
              <w:tl2br w:val="nil"/>
              <w:tr2bl w:val="nil"/>
            </w:tcBorders>
            <w:shd w:val="clear" w:color="auto" w:fill="auto"/>
            <w:vAlign w:val="center"/>
          </w:tcPr>
          <w:p w14:paraId="3214818D">
            <w:pPr>
              <w:spacing w:line="360" w:lineRule="auto"/>
              <w:ind w:left="-1" w:leftChars="-8" w:hanging="16" w:hangingChars="7"/>
              <w:jc w:val="center"/>
              <w:rPr>
                <w:rFonts w:hint="eastAsia" w:ascii="宋体" w:hAnsi="宋体" w:eastAsia="宋体" w:cs="宋体"/>
                <w:sz w:val="24"/>
                <w:szCs w:val="24"/>
              </w:rPr>
            </w:pPr>
            <w:r>
              <w:rPr>
                <w:rFonts w:hint="eastAsia" w:ascii="宋体" w:hAnsi="宋体" w:eastAsia="宋体" w:cs="宋体"/>
                <w:sz w:val="24"/>
                <w:szCs w:val="24"/>
              </w:rPr>
              <w:t>9</w:t>
            </w:r>
          </w:p>
        </w:tc>
        <w:tc>
          <w:tcPr>
            <w:tcW w:w="4128" w:type="dxa"/>
            <w:tcBorders>
              <w:tl2br w:val="nil"/>
              <w:tr2bl w:val="nil"/>
            </w:tcBorders>
            <w:shd w:val="clear" w:color="auto" w:fill="auto"/>
            <w:vAlign w:val="center"/>
          </w:tcPr>
          <w:p w14:paraId="36ADBF18">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大学生人际交往</w:t>
            </w:r>
          </w:p>
        </w:tc>
        <w:tc>
          <w:tcPr>
            <w:tcW w:w="1733" w:type="dxa"/>
            <w:tcBorders>
              <w:tl2br w:val="nil"/>
              <w:tr2bl w:val="nil"/>
            </w:tcBorders>
            <w:shd w:val="clear" w:color="auto" w:fill="auto"/>
            <w:vAlign w:val="center"/>
          </w:tcPr>
          <w:p w14:paraId="0C1761E5">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466725D0">
            <w:pPr>
              <w:spacing w:line="360" w:lineRule="auto"/>
              <w:ind w:firstLine="425"/>
              <w:jc w:val="center"/>
              <w:rPr>
                <w:rFonts w:hint="eastAsia" w:ascii="宋体" w:hAnsi="宋体" w:eastAsia="宋体" w:cs="宋体"/>
                <w:sz w:val="24"/>
                <w:szCs w:val="24"/>
              </w:rPr>
            </w:pPr>
          </w:p>
        </w:tc>
      </w:tr>
      <w:tr w14:paraId="1AE3677E">
        <w:trPr>
          <w:trHeight w:val="850" w:hRule="atLeast"/>
          <w:jc w:val="center"/>
        </w:trPr>
        <w:tc>
          <w:tcPr>
            <w:tcW w:w="954" w:type="dxa"/>
            <w:tcBorders>
              <w:tl2br w:val="nil"/>
              <w:tr2bl w:val="nil"/>
            </w:tcBorders>
            <w:shd w:val="clear" w:color="auto" w:fill="auto"/>
            <w:vAlign w:val="center"/>
          </w:tcPr>
          <w:p w14:paraId="074480F3">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4128" w:type="dxa"/>
            <w:tcBorders>
              <w:tl2br w:val="nil"/>
              <w:tr2bl w:val="nil"/>
            </w:tcBorders>
            <w:shd w:val="clear" w:color="auto" w:fill="auto"/>
            <w:vAlign w:val="center"/>
          </w:tcPr>
          <w:p w14:paraId="138A3667">
            <w:pPr>
              <w:spacing w:line="360" w:lineRule="auto"/>
              <w:ind w:firstLine="425"/>
              <w:jc w:val="center"/>
              <w:rPr>
                <w:rFonts w:hint="eastAsia" w:ascii="宋体" w:hAnsi="宋体" w:eastAsia="宋体" w:cs="宋体"/>
                <w:sz w:val="24"/>
                <w:szCs w:val="24"/>
              </w:rPr>
            </w:pPr>
            <w:r>
              <w:rPr>
                <w:rFonts w:hint="eastAsia" w:ascii="宋体" w:hAnsi="宋体" w:eastAsia="宋体" w:cs="宋体"/>
                <w:b/>
                <w:sz w:val="24"/>
                <w:szCs w:val="24"/>
              </w:rPr>
              <w:t>大学生恋爱与性心理</w:t>
            </w:r>
          </w:p>
        </w:tc>
        <w:tc>
          <w:tcPr>
            <w:tcW w:w="1733" w:type="dxa"/>
            <w:tcBorders>
              <w:tl2br w:val="nil"/>
              <w:tr2bl w:val="nil"/>
            </w:tcBorders>
            <w:shd w:val="clear" w:color="auto" w:fill="auto"/>
            <w:vAlign w:val="center"/>
          </w:tcPr>
          <w:p w14:paraId="4DE39E67">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4</w:t>
            </w:r>
          </w:p>
        </w:tc>
        <w:tc>
          <w:tcPr>
            <w:tcW w:w="1412" w:type="dxa"/>
            <w:tcBorders>
              <w:tl2br w:val="nil"/>
              <w:tr2bl w:val="nil"/>
            </w:tcBorders>
            <w:shd w:val="clear" w:color="auto" w:fill="auto"/>
            <w:vAlign w:val="center"/>
          </w:tcPr>
          <w:p w14:paraId="56A06F91">
            <w:pPr>
              <w:spacing w:line="360" w:lineRule="auto"/>
              <w:ind w:firstLine="425"/>
              <w:jc w:val="center"/>
              <w:rPr>
                <w:rFonts w:hint="eastAsia" w:ascii="宋体" w:hAnsi="宋体" w:eastAsia="宋体" w:cs="宋体"/>
                <w:sz w:val="24"/>
                <w:szCs w:val="24"/>
              </w:rPr>
            </w:pPr>
          </w:p>
        </w:tc>
      </w:tr>
      <w:tr w14:paraId="6522634B">
        <w:trPr>
          <w:trHeight w:val="850" w:hRule="atLeast"/>
          <w:jc w:val="center"/>
        </w:trPr>
        <w:tc>
          <w:tcPr>
            <w:tcW w:w="954" w:type="dxa"/>
            <w:tcBorders>
              <w:tl2br w:val="nil"/>
              <w:tr2bl w:val="nil"/>
            </w:tcBorders>
            <w:shd w:val="clear" w:color="auto" w:fill="auto"/>
            <w:vAlign w:val="center"/>
          </w:tcPr>
          <w:p w14:paraId="0740B584">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p>
        </w:tc>
        <w:tc>
          <w:tcPr>
            <w:tcW w:w="4128" w:type="dxa"/>
            <w:tcBorders>
              <w:tl2br w:val="nil"/>
              <w:tr2bl w:val="nil"/>
            </w:tcBorders>
            <w:shd w:val="clear" w:color="auto" w:fill="auto"/>
            <w:vAlign w:val="center"/>
          </w:tcPr>
          <w:p w14:paraId="70173F80">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大学生压力管理与挫折应对 </w:t>
            </w:r>
          </w:p>
        </w:tc>
        <w:tc>
          <w:tcPr>
            <w:tcW w:w="1733" w:type="dxa"/>
            <w:tcBorders>
              <w:tl2br w:val="nil"/>
              <w:tr2bl w:val="nil"/>
            </w:tcBorders>
            <w:shd w:val="clear" w:color="auto" w:fill="auto"/>
            <w:vAlign w:val="center"/>
          </w:tcPr>
          <w:p w14:paraId="51C1C214">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1E756671">
            <w:pPr>
              <w:spacing w:line="360" w:lineRule="auto"/>
              <w:ind w:firstLine="425"/>
              <w:jc w:val="center"/>
              <w:rPr>
                <w:rFonts w:hint="eastAsia" w:ascii="宋体" w:hAnsi="宋体" w:eastAsia="宋体" w:cs="宋体"/>
                <w:sz w:val="24"/>
                <w:szCs w:val="24"/>
              </w:rPr>
            </w:pPr>
          </w:p>
        </w:tc>
      </w:tr>
      <w:tr w14:paraId="4624209C">
        <w:trPr>
          <w:trHeight w:val="850" w:hRule="atLeast"/>
          <w:jc w:val="center"/>
        </w:trPr>
        <w:tc>
          <w:tcPr>
            <w:tcW w:w="954" w:type="dxa"/>
            <w:tcBorders>
              <w:tl2br w:val="nil"/>
              <w:tr2bl w:val="nil"/>
            </w:tcBorders>
            <w:shd w:val="clear" w:color="auto" w:fill="auto"/>
            <w:vAlign w:val="center"/>
          </w:tcPr>
          <w:p w14:paraId="34454659">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w:t>
            </w:r>
          </w:p>
        </w:tc>
        <w:tc>
          <w:tcPr>
            <w:tcW w:w="4128" w:type="dxa"/>
            <w:tcBorders>
              <w:tl2br w:val="nil"/>
              <w:tr2bl w:val="nil"/>
            </w:tcBorders>
            <w:shd w:val="clear" w:color="auto" w:fill="auto"/>
            <w:vAlign w:val="center"/>
          </w:tcPr>
          <w:p w14:paraId="4259644A">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大学生生命教育与心理危机应对</w:t>
            </w:r>
          </w:p>
        </w:tc>
        <w:tc>
          <w:tcPr>
            <w:tcW w:w="1733" w:type="dxa"/>
            <w:tcBorders>
              <w:tl2br w:val="nil"/>
              <w:tr2bl w:val="nil"/>
            </w:tcBorders>
            <w:shd w:val="clear" w:color="auto" w:fill="auto"/>
            <w:vAlign w:val="center"/>
          </w:tcPr>
          <w:p w14:paraId="1C8AAE1C">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w:t>
            </w:r>
          </w:p>
        </w:tc>
        <w:tc>
          <w:tcPr>
            <w:tcW w:w="1412" w:type="dxa"/>
            <w:tcBorders>
              <w:tl2br w:val="nil"/>
              <w:tr2bl w:val="nil"/>
            </w:tcBorders>
            <w:shd w:val="clear" w:color="auto" w:fill="auto"/>
            <w:vAlign w:val="center"/>
          </w:tcPr>
          <w:p w14:paraId="45EE487E">
            <w:pPr>
              <w:spacing w:line="360" w:lineRule="auto"/>
              <w:ind w:firstLine="425"/>
              <w:jc w:val="center"/>
              <w:rPr>
                <w:rFonts w:hint="eastAsia" w:ascii="宋体" w:hAnsi="宋体" w:eastAsia="宋体" w:cs="宋体"/>
                <w:sz w:val="24"/>
                <w:szCs w:val="24"/>
              </w:rPr>
            </w:pPr>
          </w:p>
        </w:tc>
      </w:tr>
      <w:tr w14:paraId="203C291B">
        <w:trPr>
          <w:trHeight w:val="850" w:hRule="atLeast"/>
          <w:jc w:val="center"/>
        </w:trPr>
        <w:tc>
          <w:tcPr>
            <w:tcW w:w="954" w:type="dxa"/>
            <w:tcBorders>
              <w:tl2br w:val="nil"/>
              <w:tr2bl w:val="nil"/>
            </w:tcBorders>
            <w:shd w:val="clear" w:color="auto" w:fill="auto"/>
            <w:vAlign w:val="center"/>
          </w:tcPr>
          <w:p w14:paraId="4A74A93A">
            <w:pPr>
              <w:spacing w:line="360" w:lineRule="auto"/>
              <w:ind w:left="-1" w:leftChars="-8" w:hanging="16" w:hangingChars="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合计</w:t>
            </w:r>
          </w:p>
        </w:tc>
        <w:tc>
          <w:tcPr>
            <w:tcW w:w="4128" w:type="dxa"/>
            <w:tcBorders>
              <w:tl2br w:val="nil"/>
              <w:tr2bl w:val="nil"/>
            </w:tcBorders>
            <w:shd w:val="clear" w:color="auto" w:fill="auto"/>
            <w:vAlign w:val="center"/>
          </w:tcPr>
          <w:p w14:paraId="469206D4">
            <w:pPr>
              <w:spacing w:line="360" w:lineRule="auto"/>
              <w:ind w:firstLine="425"/>
              <w:jc w:val="center"/>
              <w:rPr>
                <w:rFonts w:hint="eastAsia" w:ascii="宋体" w:hAnsi="宋体" w:eastAsia="宋体" w:cs="宋体"/>
                <w:sz w:val="24"/>
                <w:szCs w:val="24"/>
              </w:rPr>
            </w:pPr>
          </w:p>
        </w:tc>
        <w:tc>
          <w:tcPr>
            <w:tcW w:w="1733" w:type="dxa"/>
            <w:tcBorders>
              <w:tl2br w:val="nil"/>
              <w:tr2bl w:val="nil"/>
            </w:tcBorders>
            <w:shd w:val="clear" w:color="auto" w:fill="auto"/>
            <w:vAlign w:val="center"/>
          </w:tcPr>
          <w:p w14:paraId="7ABFB986">
            <w:pPr>
              <w:spacing w:line="360" w:lineRule="auto"/>
              <w:jc w:val="center"/>
              <w:rPr>
                <w:rFonts w:hint="default" w:ascii="宋体" w:hAnsi="宋体" w:eastAsia="宋体" w:cs="宋体"/>
                <w:b/>
                <w:sz w:val="24"/>
                <w:szCs w:val="24"/>
                <w:lang w:val="en-US" w:eastAsia="zh-CN"/>
              </w:rPr>
            </w:pPr>
            <w:r>
              <w:rPr>
                <w:rFonts w:hint="eastAsia" w:ascii="宋体" w:hAnsi="宋体" w:cs="宋体"/>
                <w:b/>
                <w:sz w:val="24"/>
                <w:szCs w:val="24"/>
                <w:lang w:val="en-US" w:eastAsia="zh-CN"/>
              </w:rPr>
              <w:t>36</w:t>
            </w:r>
          </w:p>
        </w:tc>
        <w:tc>
          <w:tcPr>
            <w:tcW w:w="1412" w:type="dxa"/>
            <w:tcBorders>
              <w:tl2br w:val="nil"/>
              <w:tr2bl w:val="nil"/>
            </w:tcBorders>
            <w:shd w:val="clear" w:color="auto" w:fill="auto"/>
            <w:vAlign w:val="center"/>
          </w:tcPr>
          <w:p w14:paraId="0E8AF763">
            <w:pPr>
              <w:spacing w:line="360" w:lineRule="auto"/>
              <w:ind w:firstLine="425"/>
              <w:jc w:val="center"/>
              <w:rPr>
                <w:rFonts w:hint="eastAsia" w:ascii="宋体" w:hAnsi="宋体" w:eastAsia="宋体" w:cs="宋体"/>
                <w:sz w:val="24"/>
                <w:szCs w:val="24"/>
              </w:rPr>
            </w:pPr>
          </w:p>
        </w:tc>
      </w:tr>
    </w:tbl>
    <w:p w14:paraId="71DE9FC9">
      <w:pPr>
        <w:rPr>
          <w:rFonts w:ascii="华文琥珀" w:hAnsi="Times New Roman" w:eastAsia="华文琥珀"/>
          <w:b/>
          <w:bCs/>
          <w:kern w:val="44"/>
          <w:szCs w:val="21"/>
        </w:rPr>
      </w:pPr>
    </w:p>
    <w:p w14:paraId="5557A290">
      <w:pPr>
        <w:rPr>
          <w:rFonts w:hint="eastAsia"/>
          <w:kern w:val="0"/>
          <w:sz w:val="20"/>
          <w:szCs w:val="20"/>
        </w:rPr>
      </w:pPr>
    </w:p>
    <w:p w14:paraId="3F66BD18">
      <w:pPr>
        <w:rPr>
          <w:rFonts w:hint="eastAsia"/>
          <w:kern w:val="0"/>
          <w:sz w:val="20"/>
          <w:szCs w:val="20"/>
        </w:rPr>
      </w:pPr>
      <w:r>
        <w:rPr>
          <w:rFonts w:hint="eastAsia"/>
          <w:kern w:val="0"/>
          <w:sz w:val="20"/>
          <w:szCs w:val="20"/>
        </w:rPr>
        <w:br w:type="page"/>
      </w:r>
    </w:p>
    <w:tbl>
      <w:tblPr>
        <w:tblStyle w:val="7"/>
        <w:tblW w:w="10205" w:type="dxa"/>
        <w:jc w:val="center"/>
        <w:tblBorders>
          <w:top w:val="double" w:color="3A5E20" w:themeColor="accent4" w:themeShade="7F" w:sz="4" w:space="0"/>
          <w:left w:val="double" w:color="3A5E20" w:themeColor="accent4" w:themeShade="7F" w:sz="4" w:space="0"/>
          <w:bottom w:val="double" w:color="3A5E20" w:themeColor="accent4" w:themeShade="7F" w:sz="4" w:space="0"/>
          <w:right w:val="double" w:color="3A5E20" w:themeColor="accent4" w:themeShade="7F" w:sz="4" w:space="0"/>
          <w:insideH w:val="single" w:color="3A5E20" w:themeColor="accent4" w:themeShade="7F" w:sz="4" w:space="0"/>
          <w:insideV w:val="single" w:color="3A5E20" w:themeColor="accent4" w:themeShade="7F" w:sz="4" w:space="0"/>
        </w:tblBorders>
        <w:tblLayout w:type="autofit"/>
        <w:tblCellMar>
          <w:top w:w="0" w:type="dxa"/>
          <w:left w:w="108" w:type="dxa"/>
          <w:bottom w:w="0" w:type="dxa"/>
          <w:right w:w="108" w:type="dxa"/>
        </w:tblCellMar>
      </w:tblPr>
      <w:tblGrid>
        <w:gridCol w:w="734"/>
        <w:gridCol w:w="1342"/>
        <w:gridCol w:w="4006"/>
        <w:gridCol w:w="4123"/>
      </w:tblGrid>
      <w:tr w14:paraId="2A5F8710">
        <w:trPr>
          <w:trHeight w:val="567" w:hRule="atLeast"/>
          <w:jc w:val="center"/>
        </w:trPr>
        <w:tc>
          <w:tcPr>
            <w:tcW w:w="694" w:type="dxa"/>
            <w:tcBorders>
              <w:tl2br w:val="nil"/>
              <w:tr2bl w:val="nil"/>
            </w:tcBorders>
            <w:shd w:val="clear" w:color="auto" w:fill="C7E4B3" w:themeFill="accent4" w:themeFillTint="66"/>
            <w:vAlign w:val="center"/>
          </w:tcPr>
          <w:p w14:paraId="7A806713">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序号</w:t>
            </w:r>
          </w:p>
        </w:tc>
        <w:tc>
          <w:tcPr>
            <w:tcW w:w="1267" w:type="dxa"/>
            <w:tcBorders>
              <w:tl2br w:val="nil"/>
              <w:tr2bl w:val="nil"/>
            </w:tcBorders>
            <w:shd w:val="clear" w:color="auto" w:fill="C7E4B3" w:themeFill="accent4" w:themeFillTint="66"/>
            <w:vAlign w:val="center"/>
          </w:tcPr>
          <w:p w14:paraId="5054FE0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课题</w:t>
            </w:r>
          </w:p>
        </w:tc>
        <w:tc>
          <w:tcPr>
            <w:tcW w:w="3783" w:type="dxa"/>
            <w:tcBorders>
              <w:tl2br w:val="nil"/>
              <w:tr2bl w:val="nil"/>
            </w:tcBorders>
            <w:shd w:val="clear" w:color="auto" w:fill="C7E4B3" w:themeFill="accent4" w:themeFillTint="66"/>
            <w:vAlign w:val="center"/>
          </w:tcPr>
          <w:p w14:paraId="4CD5F08D">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知识要求</w:t>
            </w:r>
          </w:p>
        </w:tc>
        <w:tc>
          <w:tcPr>
            <w:tcW w:w="3894" w:type="dxa"/>
            <w:tcBorders>
              <w:tl2br w:val="nil"/>
              <w:tr2bl w:val="nil"/>
            </w:tcBorders>
            <w:shd w:val="clear" w:color="auto" w:fill="C7E4B3" w:themeFill="accent4" w:themeFillTint="66"/>
            <w:vAlign w:val="center"/>
          </w:tcPr>
          <w:p w14:paraId="0E11FD24">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技能要求</w:t>
            </w:r>
          </w:p>
        </w:tc>
      </w:tr>
      <w:tr w14:paraId="63125E26">
        <w:trPr>
          <w:trHeight w:val="567" w:hRule="atLeast"/>
          <w:jc w:val="center"/>
        </w:trPr>
        <w:tc>
          <w:tcPr>
            <w:tcW w:w="694" w:type="dxa"/>
            <w:tcBorders>
              <w:tl2br w:val="nil"/>
              <w:tr2bl w:val="nil"/>
            </w:tcBorders>
            <w:vAlign w:val="center"/>
          </w:tcPr>
          <w:p w14:paraId="6AABDE5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1</w:t>
            </w:r>
          </w:p>
        </w:tc>
        <w:tc>
          <w:tcPr>
            <w:tcW w:w="1267" w:type="dxa"/>
            <w:tcBorders>
              <w:tl2br w:val="nil"/>
              <w:tr2bl w:val="nil"/>
            </w:tcBorders>
            <w:vAlign w:val="center"/>
          </w:tcPr>
          <w:p w14:paraId="26ADE67B">
            <w:pPr>
              <w:keepNext w:val="0"/>
              <w:keepLines w:val="0"/>
              <w:pageBreakBefore w:val="0"/>
              <w:widowControl w:val="0"/>
              <w:kinsoku/>
              <w:wordWrap/>
              <w:overflowPunct/>
              <w:topLinePunct w:val="0"/>
              <w:autoSpaceDE/>
              <w:autoSpaceDN/>
              <w:bidi w:val="0"/>
              <w:adjustRightInd/>
              <w:snapToGrid/>
              <w:spacing w:line="288" w:lineRule="auto"/>
              <w:ind w:left="0" w:leftChars="0"/>
              <w:jc w:val="left"/>
              <w:textAlignment w:val="auto"/>
              <w:rPr>
                <w:rFonts w:ascii="宋体" w:hAnsi="宋体" w:cs="宋体"/>
                <w:color w:val="000000"/>
                <w:kern w:val="0"/>
                <w:sz w:val="21"/>
                <w:szCs w:val="21"/>
              </w:rPr>
            </w:pPr>
            <w:r>
              <w:rPr>
                <w:rFonts w:hint="eastAsia"/>
              </w:rPr>
              <w:t>大学生心理健康导论</w:t>
            </w:r>
            <w:r>
              <w:rPr>
                <w:rFonts w:hint="eastAsia" w:ascii="宋体" w:hAnsi="宋体" w:cs="宋体"/>
                <w:kern w:val="0"/>
                <w:sz w:val="21"/>
                <w:szCs w:val="21"/>
              </w:rPr>
              <w:t> </w:t>
            </w:r>
          </w:p>
        </w:tc>
        <w:tc>
          <w:tcPr>
            <w:tcW w:w="3783" w:type="dxa"/>
            <w:tcBorders>
              <w:tl2br w:val="nil"/>
              <w:tr2bl w:val="nil"/>
            </w:tcBorders>
            <w:vAlign w:val="center"/>
          </w:tcPr>
          <w:p w14:paraId="2FEF080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了解心理活动的表现形式。 </w:t>
            </w:r>
          </w:p>
          <w:p w14:paraId="319864F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明确心理健康的标准和意义。</w:t>
            </w:r>
          </w:p>
        </w:tc>
        <w:tc>
          <w:tcPr>
            <w:tcW w:w="3894" w:type="dxa"/>
            <w:tcBorders>
              <w:tl2br w:val="nil"/>
              <w:tr2bl w:val="nil"/>
            </w:tcBorders>
            <w:vAlign w:val="center"/>
          </w:tcPr>
          <w:p w14:paraId="00F27EC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能够对自身心理健康状况进行正确、客观的认知和评价。</w:t>
            </w:r>
          </w:p>
          <w:p w14:paraId="68A186C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掌握探索自我心理现象的技能，发展心理调适技能及心理发展技能。</w:t>
            </w:r>
          </w:p>
        </w:tc>
      </w:tr>
      <w:tr w14:paraId="7D39C495">
        <w:trPr>
          <w:trHeight w:val="567" w:hRule="atLeast"/>
          <w:jc w:val="center"/>
        </w:trPr>
        <w:tc>
          <w:tcPr>
            <w:tcW w:w="694" w:type="dxa"/>
            <w:tcBorders>
              <w:tl2br w:val="nil"/>
              <w:tr2bl w:val="nil"/>
            </w:tcBorders>
            <w:vAlign w:val="center"/>
          </w:tcPr>
          <w:p w14:paraId="1CDED5D3">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2</w:t>
            </w:r>
          </w:p>
        </w:tc>
        <w:tc>
          <w:tcPr>
            <w:tcW w:w="1267" w:type="dxa"/>
            <w:tcBorders>
              <w:tl2br w:val="nil"/>
              <w:tr2bl w:val="nil"/>
            </w:tcBorders>
            <w:vAlign w:val="center"/>
          </w:tcPr>
          <w:p w14:paraId="65329BA2">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大学生心理咨询与心理治疗</w:t>
            </w:r>
          </w:p>
        </w:tc>
        <w:tc>
          <w:tcPr>
            <w:tcW w:w="3783" w:type="dxa"/>
            <w:tcBorders>
              <w:tl2br w:val="nil"/>
              <w:tr2bl w:val="nil"/>
            </w:tcBorders>
            <w:vAlign w:val="center"/>
          </w:tcPr>
          <w:p w14:paraId="71D7440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了解高校心理咨询、心理治疗的性质、方法。</w:t>
            </w:r>
          </w:p>
          <w:p w14:paraId="39CE162B">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熟悉高校心理咨询的内容。</w:t>
            </w:r>
          </w:p>
        </w:tc>
        <w:tc>
          <w:tcPr>
            <w:tcW w:w="3894" w:type="dxa"/>
            <w:tcBorders>
              <w:tl2br w:val="nil"/>
              <w:tr2bl w:val="nil"/>
            </w:tcBorders>
            <w:vAlign w:val="center"/>
          </w:tcPr>
          <w:p w14:paraId="61A8C7C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熟练应用焦虑自评量表 SAS，并能根据测试结果了解自身焦虑程度。</w:t>
            </w:r>
          </w:p>
        </w:tc>
      </w:tr>
      <w:tr w14:paraId="1186562C">
        <w:trPr>
          <w:trHeight w:val="567" w:hRule="atLeast"/>
          <w:jc w:val="center"/>
        </w:trPr>
        <w:tc>
          <w:tcPr>
            <w:tcW w:w="694" w:type="dxa"/>
            <w:tcBorders>
              <w:tl2br w:val="nil"/>
              <w:tr2bl w:val="nil"/>
            </w:tcBorders>
            <w:vAlign w:val="center"/>
          </w:tcPr>
          <w:p w14:paraId="52605105">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3</w:t>
            </w:r>
          </w:p>
        </w:tc>
        <w:tc>
          <w:tcPr>
            <w:tcW w:w="1267" w:type="dxa"/>
            <w:tcBorders>
              <w:tl2br w:val="nil"/>
              <w:tr2bl w:val="nil"/>
            </w:tcBorders>
            <w:vAlign w:val="center"/>
          </w:tcPr>
          <w:p w14:paraId="1CC74B14">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大学生常见心理困惑与异常心理</w:t>
            </w:r>
          </w:p>
        </w:tc>
        <w:tc>
          <w:tcPr>
            <w:tcW w:w="3783" w:type="dxa"/>
            <w:tcBorders>
              <w:tl2br w:val="nil"/>
              <w:tr2bl w:val="nil"/>
            </w:tcBorders>
            <w:vAlign w:val="center"/>
          </w:tcPr>
          <w:p w14:paraId="60927507">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了解大学生常见心理困惑和心理障碍的分类（CCMD-3）。</w:t>
            </w:r>
          </w:p>
          <w:p w14:paraId="1D33A4E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掌握神经症的概念和共同特征</w:t>
            </w:r>
            <w:r>
              <w:rPr>
                <w:rFonts w:hint="eastAsia" w:ascii="宋体" w:hAnsi="宋体" w:cs="宋体"/>
                <w:kern w:val="0"/>
                <w:sz w:val="21"/>
                <w:szCs w:val="21"/>
                <w:lang w:eastAsia="zh-CN"/>
              </w:rPr>
              <w:t>。</w:t>
            </w:r>
          </w:p>
        </w:tc>
        <w:tc>
          <w:tcPr>
            <w:tcW w:w="3894" w:type="dxa"/>
            <w:tcBorders>
              <w:tl2br w:val="nil"/>
              <w:tr2bl w:val="nil"/>
            </w:tcBorders>
            <w:vAlign w:val="center"/>
          </w:tcPr>
          <w:p w14:paraId="79DBB39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具备识别神经症、抑郁症、精神分裂症、应激相关障碍、人格障碍的能力。</w:t>
            </w:r>
          </w:p>
          <w:p w14:paraId="16FB9392">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p>
        </w:tc>
      </w:tr>
      <w:tr w14:paraId="6B7F360B">
        <w:trPr>
          <w:trHeight w:val="567" w:hRule="atLeast"/>
          <w:jc w:val="center"/>
        </w:trPr>
        <w:tc>
          <w:tcPr>
            <w:tcW w:w="694" w:type="dxa"/>
            <w:tcBorders>
              <w:tl2br w:val="nil"/>
              <w:tr2bl w:val="nil"/>
            </w:tcBorders>
            <w:vAlign w:val="center"/>
          </w:tcPr>
          <w:p w14:paraId="5E62866C">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4</w:t>
            </w:r>
          </w:p>
        </w:tc>
        <w:tc>
          <w:tcPr>
            <w:tcW w:w="1267" w:type="dxa"/>
            <w:tcBorders>
              <w:tl2br w:val="nil"/>
              <w:tr2bl w:val="nil"/>
            </w:tcBorders>
            <w:vAlign w:val="center"/>
          </w:tcPr>
          <w:p w14:paraId="120B6FC7">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大学生自我意识与培养</w:t>
            </w:r>
          </w:p>
        </w:tc>
        <w:tc>
          <w:tcPr>
            <w:tcW w:w="3783" w:type="dxa"/>
            <w:tcBorders>
              <w:tl2br w:val="nil"/>
              <w:tr2bl w:val="nil"/>
            </w:tcBorders>
            <w:vAlign w:val="center"/>
          </w:tcPr>
          <w:p w14:paraId="13DB036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理解自我意识的内涵和结构。</w:t>
            </w:r>
          </w:p>
          <w:p w14:paraId="04F01A64">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明晰自我意识中常见的问题。</w:t>
            </w:r>
          </w:p>
        </w:tc>
        <w:tc>
          <w:tcPr>
            <w:tcW w:w="3894" w:type="dxa"/>
            <w:tcBorders>
              <w:tl2br w:val="nil"/>
              <w:tr2bl w:val="nil"/>
            </w:tcBorders>
            <w:vAlign w:val="center"/>
          </w:tcPr>
          <w:p w14:paraId="19BD18CA">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敢于表达自我，明晰自我形象。</w:t>
            </w:r>
          </w:p>
          <w:p w14:paraId="19D100B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懂得扬长避短，学会悦纳自我。</w:t>
            </w:r>
          </w:p>
        </w:tc>
      </w:tr>
      <w:tr w14:paraId="61BE1EC7">
        <w:trPr>
          <w:trHeight w:val="567" w:hRule="atLeast"/>
          <w:jc w:val="center"/>
        </w:trPr>
        <w:tc>
          <w:tcPr>
            <w:tcW w:w="694" w:type="dxa"/>
            <w:tcBorders>
              <w:tl2br w:val="nil"/>
              <w:tr2bl w:val="nil"/>
            </w:tcBorders>
            <w:vAlign w:val="center"/>
          </w:tcPr>
          <w:p w14:paraId="680C47A4">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5</w:t>
            </w:r>
          </w:p>
        </w:tc>
        <w:tc>
          <w:tcPr>
            <w:tcW w:w="1267" w:type="dxa"/>
            <w:tcBorders>
              <w:tl2br w:val="nil"/>
              <w:tr2bl w:val="nil"/>
            </w:tcBorders>
            <w:vAlign w:val="center"/>
          </w:tcPr>
          <w:p w14:paraId="4341EA2E">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kern w:val="0"/>
                <w:sz w:val="21"/>
                <w:szCs w:val="21"/>
              </w:rPr>
            </w:pPr>
            <w:r>
              <w:rPr>
                <w:rFonts w:hint="eastAsia" w:ascii="宋体" w:hAnsi="宋体" w:cs="宋体"/>
                <w:kern w:val="0"/>
                <w:sz w:val="21"/>
                <w:szCs w:val="21"/>
              </w:rPr>
              <w:t>大学生人格发展与培养</w:t>
            </w:r>
          </w:p>
        </w:tc>
        <w:tc>
          <w:tcPr>
            <w:tcW w:w="3783" w:type="dxa"/>
            <w:tcBorders>
              <w:tl2br w:val="nil"/>
              <w:tr2bl w:val="nil"/>
            </w:tcBorders>
            <w:vAlign w:val="center"/>
          </w:tcPr>
          <w:p w14:paraId="4D302AD3">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了解塑造健康人格的途径和方法。</w:t>
            </w:r>
          </w:p>
          <w:p w14:paraId="070D014B">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eastAsia="宋体" w:cs="宋体"/>
                <w:spacing w:val="20"/>
                <w:kern w:val="0"/>
                <w:sz w:val="21"/>
                <w:szCs w:val="21"/>
              </w:rPr>
              <w:t>熟悉大学生常见人格偏差特征及调适。</w:t>
            </w:r>
          </w:p>
        </w:tc>
        <w:tc>
          <w:tcPr>
            <w:tcW w:w="3894" w:type="dxa"/>
            <w:tcBorders>
              <w:tl2br w:val="nil"/>
              <w:tr2bl w:val="nil"/>
            </w:tcBorders>
            <w:vAlign w:val="center"/>
          </w:tcPr>
          <w:p w14:paraId="4C11A60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eastAsia="宋体" w:cs="宋体"/>
                <w:spacing w:val="20"/>
                <w:kern w:val="0"/>
                <w:sz w:val="21"/>
                <w:szCs w:val="21"/>
              </w:rPr>
            </w:pPr>
            <w:r>
              <w:rPr>
                <w:rFonts w:hint="eastAsia" w:ascii="宋体" w:hAnsi="宋体" w:eastAsia="宋体" w:cs="宋体"/>
                <w:spacing w:val="20"/>
                <w:kern w:val="0"/>
                <w:sz w:val="21"/>
                <w:szCs w:val="21"/>
              </w:rPr>
              <w:t>学会觉察大学生常见的人格发展缺陷。</w:t>
            </w:r>
          </w:p>
          <w:p w14:paraId="4E21BD7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掌握大学生人格完善的途径与方法。</w:t>
            </w:r>
          </w:p>
        </w:tc>
      </w:tr>
      <w:tr w14:paraId="143FBF61">
        <w:trPr>
          <w:trHeight w:val="567" w:hRule="atLeast"/>
          <w:jc w:val="center"/>
        </w:trPr>
        <w:tc>
          <w:tcPr>
            <w:tcW w:w="694" w:type="dxa"/>
            <w:tcBorders>
              <w:tl2br w:val="nil"/>
              <w:tr2bl w:val="nil"/>
            </w:tcBorders>
            <w:vAlign w:val="center"/>
          </w:tcPr>
          <w:p w14:paraId="0449F77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6</w:t>
            </w:r>
          </w:p>
        </w:tc>
        <w:tc>
          <w:tcPr>
            <w:tcW w:w="1267" w:type="dxa"/>
            <w:tcBorders>
              <w:tl2br w:val="nil"/>
              <w:tr2bl w:val="nil"/>
            </w:tcBorders>
            <w:vAlign w:val="center"/>
          </w:tcPr>
          <w:p w14:paraId="11C2617C">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kern w:val="0"/>
                <w:sz w:val="21"/>
                <w:szCs w:val="21"/>
              </w:rPr>
            </w:pPr>
            <w:r>
              <w:rPr>
                <w:rFonts w:hint="eastAsia" w:ascii="宋体" w:hAnsi="宋体" w:cs="宋体"/>
                <w:kern w:val="0"/>
                <w:sz w:val="21"/>
                <w:szCs w:val="21"/>
              </w:rPr>
              <w:t>大学生职业生涯规划与择业心理</w:t>
            </w:r>
          </w:p>
        </w:tc>
        <w:tc>
          <w:tcPr>
            <w:tcW w:w="3783" w:type="dxa"/>
            <w:tcBorders>
              <w:tl2br w:val="nil"/>
              <w:tr2bl w:val="nil"/>
            </w:tcBorders>
            <w:vAlign w:val="center"/>
          </w:tcPr>
          <w:p w14:paraId="0FA19D1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学会并积极给自己的职业生涯做出最优的规划，学会如何去应对职场中可能出现的事件。</w:t>
            </w:r>
          </w:p>
        </w:tc>
        <w:tc>
          <w:tcPr>
            <w:tcW w:w="3894" w:type="dxa"/>
            <w:tcBorders>
              <w:tl2br w:val="nil"/>
              <w:tr2bl w:val="nil"/>
            </w:tcBorders>
            <w:vAlign w:val="center"/>
          </w:tcPr>
          <w:p w14:paraId="064E8E6E">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从自我认知层面上找出自身的优势与劣势，不断提升自身能力，提高适应社会职场的能力。</w:t>
            </w:r>
          </w:p>
        </w:tc>
      </w:tr>
      <w:tr w14:paraId="170B53CF">
        <w:trPr>
          <w:trHeight w:val="567" w:hRule="atLeast"/>
          <w:jc w:val="center"/>
        </w:trPr>
        <w:tc>
          <w:tcPr>
            <w:tcW w:w="694" w:type="dxa"/>
            <w:tcBorders>
              <w:tl2br w:val="nil"/>
              <w:tr2bl w:val="nil"/>
            </w:tcBorders>
            <w:vAlign w:val="center"/>
          </w:tcPr>
          <w:p w14:paraId="134B834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7</w:t>
            </w:r>
          </w:p>
        </w:tc>
        <w:tc>
          <w:tcPr>
            <w:tcW w:w="1267" w:type="dxa"/>
            <w:tcBorders>
              <w:tl2br w:val="nil"/>
              <w:tr2bl w:val="nil"/>
            </w:tcBorders>
            <w:vAlign w:val="center"/>
          </w:tcPr>
          <w:p w14:paraId="09468FF3">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r>
              <w:rPr>
                <w:rFonts w:hint="eastAsia" w:ascii="宋体" w:hAnsi="宋体" w:cs="宋体"/>
                <w:kern w:val="0"/>
                <w:sz w:val="21"/>
                <w:szCs w:val="21"/>
              </w:rPr>
              <w:t>大学生学习心理与创造性思维培养</w:t>
            </w:r>
          </w:p>
        </w:tc>
        <w:tc>
          <w:tcPr>
            <w:tcW w:w="3783" w:type="dxa"/>
            <w:tcBorders>
              <w:tl2br w:val="nil"/>
              <w:tr2bl w:val="nil"/>
            </w:tcBorders>
            <w:vAlign w:val="center"/>
          </w:tcPr>
          <w:p w14:paraId="142C3F0A">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了解大学生学习特点。</w:t>
            </w:r>
          </w:p>
          <w:p w14:paraId="7D54A23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了解影响学习的非智力因素。</w:t>
            </w:r>
          </w:p>
          <w:p w14:paraId="7E8A0BEA">
            <w:pPr>
              <w:keepNext w:val="0"/>
              <w:keepLines w:val="0"/>
              <w:pageBreakBefore w:val="0"/>
              <w:widowControl w:val="0"/>
              <w:numPr>
                <w:ilvl w:val="0"/>
                <w:numId w:val="0"/>
              </w:numPr>
              <w:tabs>
                <w:tab w:val="left" w:pos="252"/>
              </w:tabs>
              <w:kinsoku/>
              <w:wordWrap/>
              <w:overflowPunct/>
              <w:topLinePunct w:val="0"/>
              <w:autoSpaceDE/>
              <w:autoSpaceDN/>
              <w:bidi w:val="0"/>
              <w:adjustRightInd/>
              <w:snapToGrid/>
              <w:spacing w:line="288" w:lineRule="auto"/>
              <w:ind w:left="0" w:leftChars="0"/>
              <w:textAlignment w:val="auto"/>
              <w:rPr>
                <w:rFonts w:ascii="宋体" w:hAnsi="宋体" w:cs="宋体"/>
                <w:color w:val="333333"/>
                <w:kern w:val="0"/>
                <w:sz w:val="21"/>
                <w:szCs w:val="21"/>
              </w:rPr>
            </w:pPr>
          </w:p>
        </w:tc>
        <w:tc>
          <w:tcPr>
            <w:tcW w:w="3894" w:type="dxa"/>
            <w:tcBorders>
              <w:tl2br w:val="nil"/>
              <w:tr2bl w:val="nil"/>
            </w:tcBorders>
            <w:vAlign w:val="center"/>
          </w:tcPr>
          <w:p w14:paraId="74ADD197">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eastAsia="宋体" w:cs="宋体"/>
                <w:spacing w:val="20"/>
                <w:kern w:val="0"/>
                <w:sz w:val="21"/>
                <w:szCs w:val="21"/>
              </w:rPr>
              <w:t>掌握出现学习心理障碍时的调适方法。</w:t>
            </w:r>
          </w:p>
        </w:tc>
      </w:tr>
      <w:tr w14:paraId="4B0443AA">
        <w:trPr>
          <w:trHeight w:val="567" w:hRule="atLeast"/>
          <w:jc w:val="center"/>
        </w:trPr>
        <w:tc>
          <w:tcPr>
            <w:tcW w:w="694" w:type="dxa"/>
            <w:tcBorders>
              <w:tl2br w:val="nil"/>
              <w:tr2bl w:val="nil"/>
            </w:tcBorders>
            <w:vAlign w:val="center"/>
          </w:tcPr>
          <w:p w14:paraId="7E14898B">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8</w:t>
            </w:r>
          </w:p>
        </w:tc>
        <w:tc>
          <w:tcPr>
            <w:tcW w:w="1267" w:type="dxa"/>
            <w:tcBorders>
              <w:tl2br w:val="nil"/>
              <w:tr2bl w:val="nil"/>
            </w:tcBorders>
            <w:vAlign w:val="center"/>
          </w:tcPr>
          <w:p w14:paraId="1974465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r>
              <w:rPr>
                <w:rFonts w:hint="eastAsia" w:ascii="宋体" w:hAnsi="宋体" w:cs="宋体"/>
                <w:kern w:val="0"/>
                <w:sz w:val="21"/>
                <w:szCs w:val="21"/>
              </w:rPr>
              <w:t>大学生情绪管理</w:t>
            </w:r>
          </w:p>
        </w:tc>
        <w:tc>
          <w:tcPr>
            <w:tcW w:w="3783" w:type="dxa"/>
            <w:tcBorders>
              <w:tl2br w:val="nil"/>
              <w:tr2bl w:val="nil"/>
            </w:tcBorders>
            <w:vAlign w:val="center"/>
          </w:tcPr>
          <w:p w14:paraId="11C40E3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了解情绪对学习、生活、人际交往、认知行为和身心健康的影响。</w:t>
            </w:r>
          </w:p>
          <w:p w14:paraId="68AFF605">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了解大学生情绪管理的重要性。</w:t>
            </w:r>
          </w:p>
        </w:tc>
        <w:tc>
          <w:tcPr>
            <w:tcW w:w="3894" w:type="dxa"/>
            <w:tcBorders>
              <w:tl2br w:val="nil"/>
              <w:tr2bl w:val="nil"/>
            </w:tcBorders>
            <w:vAlign w:val="center"/>
          </w:tcPr>
          <w:p w14:paraId="0714F52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熟练掌握情绪健康标准并以此标准控制不良情绪。</w:t>
            </w:r>
          </w:p>
        </w:tc>
      </w:tr>
      <w:tr w14:paraId="174D6EE5">
        <w:trPr>
          <w:trHeight w:val="567" w:hRule="atLeast"/>
          <w:jc w:val="center"/>
        </w:trPr>
        <w:tc>
          <w:tcPr>
            <w:tcW w:w="694" w:type="dxa"/>
            <w:tcBorders>
              <w:tl2br w:val="nil"/>
              <w:tr2bl w:val="nil"/>
            </w:tcBorders>
            <w:vAlign w:val="center"/>
          </w:tcPr>
          <w:p w14:paraId="4A1561A2">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9</w:t>
            </w:r>
          </w:p>
        </w:tc>
        <w:tc>
          <w:tcPr>
            <w:tcW w:w="1267" w:type="dxa"/>
            <w:tcBorders>
              <w:tl2br w:val="nil"/>
              <w:tr2bl w:val="nil"/>
            </w:tcBorders>
            <w:vAlign w:val="center"/>
          </w:tcPr>
          <w:p w14:paraId="372AF405">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color w:val="000000"/>
                <w:kern w:val="0"/>
                <w:sz w:val="21"/>
                <w:szCs w:val="21"/>
              </w:rPr>
            </w:pPr>
            <w:r>
              <w:rPr>
                <w:rFonts w:hint="eastAsia" w:ascii="宋体" w:hAnsi="宋体" w:cs="宋体"/>
                <w:kern w:val="0"/>
                <w:sz w:val="21"/>
                <w:szCs w:val="21"/>
              </w:rPr>
              <w:t>大学生人际交往</w:t>
            </w:r>
          </w:p>
        </w:tc>
        <w:tc>
          <w:tcPr>
            <w:tcW w:w="3783" w:type="dxa"/>
            <w:tcBorders>
              <w:tl2br w:val="nil"/>
              <w:tr2bl w:val="nil"/>
            </w:tcBorders>
            <w:vAlign w:val="center"/>
          </w:tcPr>
          <w:p w14:paraId="2ABB77A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eastAsia="宋体" w:cs="宋体"/>
                <w:kern w:val="0"/>
                <w:sz w:val="21"/>
                <w:szCs w:val="21"/>
                <w:lang w:eastAsia="zh-CN"/>
              </w:rPr>
            </w:pPr>
            <w:r>
              <w:rPr>
                <w:rFonts w:hint="eastAsia" w:ascii="宋体" w:hAnsi="宋体" w:cs="宋体"/>
                <w:kern w:val="0"/>
                <w:sz w:val="21"/>
                <w:szCs w:val="21"/>
              </w:rPr>
              <w:t>●了解大学生人际交往的特点。</w:t>
            </w:r>
          </w:p>
          <w:p w14:paraId="7BF4876C">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●了解人际交往障碍产生的一般原因。</w:t>
            </w:r>
          </w:p>
        </w:tc>
        <w:tc>
          <w:tcPr>
            <w:tcW w:w="3894" w:type="dxa"/>
            <w:tcBorders>
              <w:tl2br w:val="nil"/>
              <w:tr2bl w:val="nil"/>
            </w:tcBorders>
            <w:vAlign w:val="center"/>
          </w:tcPr>
          <w:p w14:paraId="13957750">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掌握人际交往的一般原则和技巧，并能灵活应用到生活、工作当中。</w:t>
            </w:r>
          </w:p>
        </w:tc>
      </w:tr>
      <w:tr w14:paraId="2824A002">
        <w:trPr>
          <w:trHeight w:val="567" w:hRule="atLeast"/>
          <w:jc w:val="center"/>
        </w:trPr>
        <w:tc>
          <w:tcPr>
            <w:tcW w:w="694" w:type="dxa"/>
            <w:tcBorders>
              <w:tl2br w:val="nil"/>
              <w:tr2bl w:val="nil"/>
            </w:tcBorders>
            <w:vAlign w:val="center"/>
          </w:tcPr>
          <w:p w14:paraId="0C64A2DC">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10</w:t>
            </w:r>
          </w:p>
        </w:tc>
        <w:tc>
          <w:tcPr>
            <w:tcW w:w="1267" w:type="dxa"/>
            <w:tcBorders>
              <w:tl2br w:val="nil"/>
              <w:tr2bl w:val="nil"/>
            </w:tcBorders>
            <w:vAlign w:val="center"/>
          </w:tcPr>
          <w:p w14:paraId="61806A1E">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大学生恋爱与性心理问题管理</w:t>
            </w:r>
          </w:p>
        </w:tc>
        <w:tc>
          <w:tcPr>
            <w:tcW w:w="3783" w:type="dxa"/>
            <w:tcBorders>
              <w:tl2br w:val="nil"/>
              <w:tr2bl w:val="nil"/>
            </w:tcBorders>
            <w:vAlign w:val="center"/>
          </w:tcPr>
          <w:p w14:paraId="33B78742">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●了解什么是爱情及爱情的特征。</w:t>
            </w:r>
          </w:p>
        </w:tc>
        <w:tc>
          <w:tcPr>
            <w:tcW w:w="3894" w:type="dxa"/>
            <w:tcBorders>
              <w:tl2br w:val="nil"/>
              <w:tr2bl w:val="nil"/>
            </w:tcBorders>
            <w:vAlign w:val="center"/>
          </w:tcPr>
          <w:p w14:paraId="2194C35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spacing w:val="23"/>
                <w:kern w:val="0"/>
                <w:sz w:val="21"/>
                <w:szCs w:val="21"/>
              </w:rPr>
              <w:t>提高恋爱中常见的心理问题的调适能力。</w:t>
            </w:r>
          </w:p>
        </w:tc>
      </w:tr>
      <w:tr w14:paraId="00E4C6A7">
        <w:trPr>
          <w:trHeight w:val="567" w:hRule="atLeast"/>
          <w:jc w:val="center"/>
        </w:trPr>
        <w:tc>
          <w:tcPr>
            <w:tcW w:w="694" w:type="dxa"/>
            <w:tcBorders>
              <w:tl2br w:val="nil"/>
              <w:tr2bl w:val="nil"/>
            </w:tcBorders>
            <w:vAlign w:val="center"/>
          </w:tcPr>
          <w:p w14:paraId="33381F3A">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11</w:t>
            </w:r>
          </w:p>
        </w:tc>
        <w:tc>
          <w:tcPr>
            <w:tcW w:w="1267" w:type="dxa"/>
            <w:tcBorders>
              <w:tl2br w:val="nil"/>
              <w:tr2bl w:val="nil"/>
            </w:tcBorders>
            <w:vAlign w:val="center"/>
          </w:tcPr>
          <w:p w14:paraId="2A2812A8">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大学生压力管理与挫折应对</w:t>
            </w:r>
          </w:p>
        </w:tc>
        <w:tc>
          <w:tcPr>
            <w:tcW w:w="3783" w:type="dxa"/>
            <w:tcBorders>
              <w:tl2br w:val="nil"/>
              <w:tr2bl w:val="nil"/>
            </w:tcBorders>
            <w:vAlign w:val="center"/>
          </w:tcPr>
          <w:p w14:paraId="3CCFA86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●掌握挫折与压力的含义。</w:t>
            </w:r>
          </w:p>
          <w:p w14:paraId="422800D4">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●理解大学生挫折表现与压力现状。</w:t>
            </w:r>
          </w:p>
        </w:tc>
        <w:tc>
          <w:tcPr>
            <w:tcW w:w="3894" w:type="dxa"/>
            <w:tcBorders>
              <w:tl2br w:val="nil"/>
              <w:tr2bl w:val="nil"/>
            </w:tcBorders>
            <w:vAlign w:val="center"/>
          </w:tcPr>
          <w:p w14:paraId="4B00F99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spacing w:val="20"/>
                <w:kern w:val="0"/>
                <w:sz w:val="21"/>
                <w:szCs w:val="21"/>
              </w:rPr>
              <w:t>培养学生认识和应对挫折与压力的能力。</w:t>
            </w:r>
          </w:p>
        </w:tc>
      </w:tr>
      <w:tr w14:paraId="60EA8C47">
        <w:trPr>
          <w:trHeight w:val="567" w:hRule="atLeast"/>
          <w:jc w:val="center"/>
        </w:trPr>
        <w:tc>
          <w:tcPr>
            <w:tcW w:w="694" w:type="dxa"/>
            <w:tcBorders>
              <w:tl2br w:val="nil"/>
              <w:tr2bl w:val="nil"/>
            </w:tcBorders>
            <w:vAlign w:val="center"/>
          </w:tcPr>
          <w:p w14:paraId="451C0086">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12</w:t>
            </w:r>
          </w:p>
        </w:tc>
        <w:tc>
          <w:tcPr>
            <w:tcW w:w="1267" w:type="dxa"/>
            <w:tcBorders>
              <w:tl2br w:val="nil"/>
              <w:tr2bl w:val="nil"/>
            </w:tcBorders>
            <w:vAlign w:val="center"/>
          </w:tcPr>
          <w:p w14:paraId="24F9644C">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大学生生命教育与心理危机应对</w:t>
            </w:r>
          </w:p>
        </w:tc>
        <w:tc>
          <w:tcPr>
            <w:tcW w:w="3783" w:type="dxa"/>
            <w:tcBorders>
              <w:tl2br w:val="nil"/>
              <w:tr2bl w:val="nil"/>
            </w:tcBorders>
            <w:vAlign w:val="center"/>
          </w:tcPr>
          <w:p w14:paraId="751F0C11">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●让学生明白生命的意义，珍爱生命。</w:t>
            </w:r>
          </w:p>
          <w:p w14:paraId="33F93730">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●大学生学会并积极干预心理危机，保持心理健康。</w:t>
            </w:r>
          </w:p>
        </w:tc>
        <w:tc>
          <w:tcPr>
            <w:tcW w:w="3894" w:type="dxa"/>
            <w:tcBorders>
              <w:tl2br w:val="nil"/>
              <w:tr2bl w:val="nil"/>
            </w:tcBorders>
            <w:vAlign w:val="center"/>
          </w:tcPr>
          <w:p w14:paraId="1AB80113">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kern w:val="0"/>
                <w:sz w:val="21"/>
                <w:szCs w:val="21"/>
              </w:rPr>
              <w:t>提升受挫能力和情绪调节能力。</w:t>
            </w:r>
          </w:p>
          <w:p w14:paraId="52BE187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kern w:val="0"/>
                <w:sz w:val="21"/>
                <w:szCs w:val="21"/>
              </w:rPr>
              <w:t>获得自我成长、自我认同的能力。</w:t>
            </w:r>
          </w:p>
        </w:tc>
      </w:tr>
    </w:tbl>
    <w:p w14:paraId="2962B863">
      <w:pPr>
        <w:keepNext w:val="0"/>
        <w:keepLines w:val="0"/>
        <w:pageBreakBefore w:val="0"/>
        <w:widowControl w:val="0"/>
        <w:kinsoku/>
        <w:wordWrap/>
        <w:overflowPunct/>
        <w:topLinePunct w:val="0"/>
        <w:autoSpaceDE/>
        <w:autoSpaceDN/>
        <w:bidi w:val="0"/>
        <w:adjustRightInd/>
        <w:snapToGrid/>
        <w:spacing w:line="240" w:lineRule="auto"/>
        <w:ind w:left="0" w:leftChars="0" w:firstLine="2523" w:firstLineChars="1200"/>
        <w:textAlignment w:val="auto"/>
        <w:rPr>
          <w:rFonts w:ascii="Times New Roman" w:hAnsi="Times New Roman"/>
          <w:b/>
          <w:bCs/>
          <w:kern w:val="44"/>
          <w:sz w:val="21"/>
          <w:szCs w:val="21"/>
        </w:rPr>
        <w:sectPr>
          <w:headerReference r:id="rId7" w:type="first"/>
          <w:footerReference r:id="rId9" w:type="first"/>
          <w:headerReference r:id="rId6" w:type="default"/>
          <w:footerReference r:id="rId8" w:type="default"/>
          <w:pgSz w:w="11906" w:h="16838"/>
          <w:pgMar w:top="567" w:right="567" w:bottom="567" w:left="567" w:header="567" w:footer="567" w:gutter="0"/>
          <w:pgBorders>
            <w:top w:val="none" w:sz="0" w:space="0"/>
            <w:left w:val="none" w:sz="0" w:space="0"/>
            <w:bottom w:val="none" w:sz="0" w:space="0"/>
            <w:right w:val="none" w:sz="0" w:space="0"/>
          </w:pgBorders>
          <w:cols w:space="720" w:num="1"/>
          <w:titlePg/>
          <w:docGrid w:type="lines" w:linePitch="312" w:charSpace="0"/>
        </w:sectPr>
      </w:pPr>
    </w:p>
    <w:p w14:paraId="216AF25E">
      <w:pPr>
        <w:keepNext/>
        <w:keepLines/>
        <w:pageBreakBefore w:val="0"/>
        <w:widowControl w:val="0"/>
        <w:kinsoku/>
        <w:wordWrap/>
        <w:overflowPunct/>
        <w:topLinePunct w:val="0"/>
        <w:autoSpaceDE/>
        <w:autoSpaceDN/>
        <w:bidi w:val="0"/>
        <w:adjustRightInd/>
        <w:snapToGrid/>
        <w:spacing w:after="157" w:afterLines="50" w:line="360" w:lineRule="auto"/>
        <w:jc w:val="center"/>
        <w:textAlignment w:val="auto"/>
        <w:outlineLvl w:val="1"/>
        <w:rPr>
          <w:rFonts w:hint="eastAsia" w:ascii="黑体" w:hAnsi="黑体" w:eastAsia="黑体" w:cs="黑体"/>
          <w:b/>
          <w:bCs/>
          <w:color w:val="843F0B" w:themeColor="accent2" w:themeShade="80"/>
          <w:sz w:val="32"/>
          <w:szCs w:val="32"/>
        </w:rPr>
      </w:pPr>
      <w:r>
        <w:rPr>
          <w:rFonts w:hint="eastAsia" w:ascii="黑体" w:hAnsi="黑体" w:eastAsia="黑体" w:cs="黑体"/>
          <w:b/>
          <w:bCs/>
          <w:color w:val="843F0B" w:themeColor="accent2" w:themeShade="80"/>
          <w:sz w:val="32"/>
          <w:szCs w:val="32"/>
        </w:rPr>
        <w:t>第</w:t>
      </w:r>
      <w:r>
        <w:rPr>
          <w:rFonts w:hint="eastAsia" w:ascii="黑体" w:hAnsi="黑体" w:eastAsia="黑体" w:cs="黑体"/>
          <w:b/>
          <w:bCs/>
          <w:color w:val="843F0B" w:themeColor="accent2" w:themeShade="80"/>
          <w:sz w:val="32"/>
          <w:szCs w:val="32"/>
          <w:lang w:val="en-US" w:eastAsia="zh-CN"/>
        </w:rPr>
        <w:t>12</w:t>
      </w:r>
      <w:r>
        <w:rPr>
          <w:rFonts w:hint="eastAsia" w:ascii="黑体" w:hAnsi="黑体" w:eastAsia="黑体" w:cs="黑体"/>
          <w:b/>
          <w:bCs/>
          <w:color w:val="843F0B" w:themeColor="accent2" w:themeShade="80"/>
          <w:sz w:val="32"/>
          <w:szCs w:val="32"/>
        </w:rPr>
        <w:t>课  大学生生命教育与心理危机应对</w:t>
      </w:r>
    </w:p>
    <w:tbl>
      <w:tblPr>
        <w:tblStyle w:val="6"/>
        <w:tblW w:w="10205" w:type="dxa"/>
        <w:jc w:val="center"/>
        <w:tblBorders>
          <w:top w:val="double" w:color="833F0A" w:themeColor="accent2" w:themeShade="7F" w:sz="4" w:space="0"/>
          <w:left w:val="double" w:color="833F0A" w:themeColor="accent2" w:themeShade="7F" w:sz="4" w:space="0"/>
          <w:bottom w:val="double" w:color="833F0A" w:themeColor="accent2" w:themeShade="7F" w:sz="4" w:space="0"/>
          <w:right w:val="double" w:color="833F0A" w:themeColor="accent2" w:themeShade="7F" w:sz="4" w:space="0"/>
          <w:insideH w:val="single" w:color="833F0A" w:themeColor="accent2" w:themeShade="7F" w:sz="4" w:space="0"/>
          <w:insideV w:val="single" w:color="833F0A" w:themeColor="accent2" w:themeShade="7F" w:sz="4" w:space="0"/>
        </w:tblBorders>
        <w:tblLayout w:type="fixed"/>
        <w:tblCellMar>
          <w:top w:w="0" w:type="dxa"/>
          <w:left w:w="108" w:type="dxa"/>
          <w:bottom w:w="0" w:type="dxa"/>
          <w:right w:w="108" w:type="dxa"/>
        </w:tblCellMar>
      </w:tblPr>
      <w:tblGrid>
        <w:gridCol w:w="1538"/>
        <w:gridCol w:w="7050"/>
        <w:gridCol w:w="1617"/>
      </w:tblGrid>
      <w:tr w14:paraId="6D9CDE80">
        <w:trPr>
          <w:trHeight w:val="567" w:hRule="atLeast"/>
          <w:jc w:val="center"/>
        </w:trPr>
        <w:tc>
          <w:tcPr>
            <w:tcW w:w="1538" w:type="dxa"/>
            <w:tcBorders>
              <w:bottom w:val="dashSmallGap" w:color="ACD78D" w:themeColor="accent4" w:themeTint="99" w:sz="4" w:space="0"/>
              <w:right w:val="dashSmallGap" w:color="ACD78D" w:themeColor="accent4" w:themeTint="99" w:sz="4" w:space="0"/>
            </w:tcBorders>
            <w:shd w:val="clear" w:color="auto" w:fill="E3F2D9" w:themeFill="accent4" w:themeFillTint="32"/>
            <w:vAlign w:val="center"/>
          </w:tcPr>
          <w:p w14:paraId="5E681B9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3B5F21" w:themeColor="accent4" w:themeShade="80"/>
                <w:szCs w:val="20"/>
              </w:rPr>
            </w:pPr>
            <w:r>
              <w:rPr>
                <w:rFonts w:hint="eastAsia" w:ascii="黑体" w:hAnsi="黑体" w:eastAsia="黑体" w:cs="黑体"/>
                <w:b/>
                <w:bCs w:val="0"/>
                <w:color w:val="588E32" w:themeColor="accent4" w:themeShade="BF"/>
                <w:szCs w:val="20"/>
                <w14:textFill>
                  <w14:solidFill>
                    <w14:schemeClr w14:val="accent4">
                      <w14:lumMod w14:val="75000"/>
                      <w14:alpha w14:val="0"/>
                    </w14:schemeClr>
                  </w14:solidFill>
                </w14:textFill>
              </w:rPr>
              <w:t>课  题</w:t>
            </w:r>
          </w:p>
        </w:tc>
        <w:tc>
          <w:tcPr>
            <w:tcW w:w="8667" w:type="dxa"/>
            <w:gridSpan w:val="2"/>
            <w:tcBorders>
              <w:left w:val="dashSmallGap" w:color="ACD78D" w:themeColor="accent4" w:themeTint="99" w:sz="4" w:space="0"/>
              <w:bottom w:val="dashSmallGap" w:color="ACD78D" w:themeColor="accent4" w:themeTint="99" w:sz="4" w:space="0"/>
            </w:tcBorders>
            <w:shd w:val="clear" w:color="auto" w:fill="FFFFF1"/>
            <w:vAlign w:val="center"/>
          </w:tcPr>
          <w:p w14:paraId="38E205C2">
            <w:pPr>
              <w:spacing w:line="360" w:lineRule="auto"/>
              <w:ind w:hanging="8"/>
              <w:rPr>
                <w:rFonts w:ascii="Times New Roman" w:hAnsi="Times New Roman"/>
                <w:szCs w:val="20"/>
              </w:rPr>
            </w:pPr>
            <w:r>
              <w:rPr>
                <w:rFonts w:hint="eastAsia" w:ascii="Times New Roman" w:hAnsi="宋体"/>
                <w:szCs w:val="20"/>
              </w:rPr>
              <w:t>大学生生命教育与心理危机应对</w:t>
            </w:r>
          </w:p>
        </w:tc>
      </w:tr>
      <w:tr w14:paraId="0174A0D2">
        <w:trPr>
          <w:trHeight w:val="567" w:hRule="atLeast"/>
          <w:jc w:val="center"/>
        </w:trPr>
        <w:tc>
          <w:tcPr>
            <w:tcW w:w="1538" w:type="dxa"/>
            <w:tcBorders>
              <w:top w:val="dashSmallGap" w:color="ACD78D" w:themeColor="accent4" w:themeTint="99" w:sz="4" w:space="0"/>
              <w:bottom w:val="dashSmallGap" w:color="EF939E" w:themeColor="accent6" w:themeTint="99" w:sz="4" w:space="0"/>
              <w:right w:val="dashSmallGap" w:color="ACD78D" w:themeColor="accent4" w:themeTint="99" w:sz="4" w:space="0"/>
            </w:tcBorders>
            <w:shd w:val="clear" w:color="auto" w:fill="E3F2D9" w:themeFill="accent4" w:themeFillTint="32"/>
            <w:vAlign w:val="center"/>
          </w:tcPr>
          <w:p w14:paraId="48D5C45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3B5F21" w:themeColor="accent4" w:themeShade="80"/>
                <w:szCs w:val="20"/>
              </w:rPr>
            </w:pPr>
            <w:r>
              <w:rPr>
                <w:rFonts w:hint="eastAsia" w:ascii="黑体" w:hAnsi="黑体" w:eastAsia="黑体" w:cs="黑体"/>
                <w:b/>
                <w:bCs w:val="0"/>
                <w:color w:val="588E32" w:themeColor="accent4" w:themeShade="BF"/>
                <w:szCs w:val="20"/>
                <w14:textFill>
                  <w14:solidFill>
                    <w14:schemeClr w14:val="accent4">
                      <w14:lumMod w14:val="75000"/>
                      <w14:alpha w14:val="0"/>
                    </w14:schemeClr>
                  </w14:solidFill>
                </w14:textFill>
              </w:rPr>
              <w:t>课  时</w:t>
            </w:r>
          </w:p>
        </w:tc>
        <w:tc>
          <w:tcPr>
            <w:tcW w:w="8667" w:type="dxa"/>
            <w:gridSpan w:val="2"/>
            <w:tcBorders>
              <w:top w:val="dashSmallGap" w:color="ACD78D" w:themeColor="accent4" w:themeTint="99" w:sz="4" w:space="0"/>
              <w:left w:val="dashSmallGap" w:color="ACD78D" w:themeColor="accent4" w:themeTint="99" w:sz="4" w:space="0"/>
              <w:bottom w:val="dashSmallGap" w:color="EF939E" w:themeColor="accent6" w:themeTint="99" w:sz="4" w:space="0"/>
            </w:tcBorders>
            <w:shd w:val="clear" w:color="auto" w:fill="FFFFF1"/>
            <w:vAlign w:val="center"/>
          </w:tcPr>
          <w:p w14:paraId="47124F82">
            <w:pPr>
              <w:spacing w:line="360" w:lineRule="auto"/>
              <w:ind w:hanging="8"/>
              <w:rPr>
                <w:rFonts w:ascii="Times New Roman" w:hAnsi="Times New Roman"/>
                <w:szCs w:val="20"/>
              </w:rPr>
            </w:pPr>
            <w:r>
              <w:rPr>
                <w:rFonts w:hint="eastAsia" w:ascii="Times New Roman" w:hAnsi="Times New Roman"/>
                <w:szCs w:val="20"/>
                <w:lang w:val="en-US" w:eastAsia="zh-CN"/>
              </w:rPr>
              <w:t>2</w:t>
            </w:r>
            <w:r>
              <w:rPr>
                <w:rFonts w:ascii="Times New Roman" w:hAnsi="宋体"/>
                <w:szCs w:val="20"/>
              </w:rPr>
              <w:t>课时</w:t>
            </w:r>
            <w:r>
              <w:rPr>
                <w:rFonts w:hint="eastAsia" w:ascii="Times New Roman" w:hAnsi="宋体"/>
                <w:szCs w:val="20"/>
              </w:rPr>
              <w:t>（</w:t>
            </w:r>
            <w:r>
              <w:rPr>
                <w:rFonts w:hint="eastAsia" w:ascii="Times New Roman" w:hAnsi="宋体"/>
                <w:szCs w:val="20"/>
                <w:lang w:val="en-US" w:eastAsia="zh-CN"/>
              </w:rPr>
              <w:t>90</w:t>
            </w:r>
            <w:r>
              <w:rPr>
                <w:rFonts w:hint="eastAsia" w:ascii="Times New Roman" w:hAnsi="宋体"/>
                <w:szCs w:val="20"/>
              </w:rPr>
              <w:t>min）。</w:t>
            </w:r>
          </w:p>
        </w:tc>
      </w:tr>
      <w:tr w14:paraId="64ED9BFE">
        <w:trPr>
          <w:trHeight w:val="567" w:hRule="atLeast"/>
          <w:jc w:val="center"/>
        </w:trPr>
        <w:tc>
          <w:tcPr>
            <w:tcW w:w="1538" w:type="dxa"/>
            <w:tcBorders>
              <w:top w:val="dashSmallGap" w:color="EF939E" w:themeColor="accent6" w:themeTint="99" w:sz="4" w:space="0"/>
              <w:bottom w:val="dashSmallGap" w:color="EF939E" w:themeColor="accent6" w:themeTint="99" w:sz="4" w:space="0"/>
              <w:right w:val="dashSmallGap" w:color="EF939E" w:themeColor="accent6" w:themeTint="99" w:sz="4" w:space="0"/>
            </w:tcBorders>
            <w:shd w:val="clear" w:color="auto" w:fill="F4B7BE" w:themeFill="accent6" w:themeFillTint="66"/>
            <w:vAlign w:val="center"/>
          </w:tcPr>
          <w:p w14:paraId="52B83E55">
            <w:pPr>
              <w:spacing w:line="360" w:lineRule="auto"/>
              <w:ind w:hanging="8"/>
              <w:jc w:val="center"/>
              <w:rPr>
                <w:rFonts w:hint="eastAsia" w:ascii="黑体" w:hAnsi="黑体" w:eastAsia="黑体" w:cs="黑体"/>
                <w:b/>
                <w:szCs w:val="20"/>
              </w:rPr>
            </w:pPr>
            <w:r>
              <w:rPr>
                <w:rFonts w:hint="eastAsia" w:ascii="黑体" w:hAnsi="黑体" w:eastAsia="黑体" w:cs="黑体"/>
                <w:b/>
                <w:color w:val="851321" w:themeColor="accent6" w:themeShade="80"/>
                <w:szCs w:val="20"/>
              </w:rPr>
              <w:t>教学目标</w:t>
            </w:r>
          </w:p>
        </w:tc>
        <w:tc>
          <w:tcPr>
            <w:tcW w:w="8667" w:type="dxa"/>
            <w:gridSpan w:val="2"/>
            <w:tcBorders>
              <w:top w:val="dashSmallGap" w:color="EF939E" w:themeColor="accent6" w:themeTint="99" w:sz="4" w:space="0"/>
              <w:left w:val="dashSmallGap" w:color="EF939E" w:themeColor="accent6" w:themeTint="99" w:sz="4" w:space="0"/>
              <w:bottom w:val="dashSmallGap" w:color="EF939E" w:themeColor="accent6" w:themeTint="99" w:sz="4" w:space="0"/>
            </w:tcBorders>
            <w:shd w:val="clear" w:color="auto" w:fill="F8FFF5"/>
            <w:vAlign w:val="center"/>
          </w:tcPr>
          <w:p w14:paraId="3947DA50">
            <w:pPr>
              <w:spacing w:line="360" w:lineRule="auto"/>
              <w:ind w:hanging="8"/>
              <w:rPr>
                <w:b/>
              </w:rPr>
            </w:pPr>
            <w:r>
              <w:rPr>
                <w:rFonts w:hAnsi="宋体"/>
                <w:b/>
              </w:rPr>
              <w:t>知识</w:t>
            </w:r>
            <w:r>
              <w:rPr>
                <w:rFonts w:hint="eastAsia" w:hAnsi="宋体"/>
                <w:b/>
              </w:rPr>
              <w:t>技能</w:t>
            </w:r>
            <w:r>
              <w:rPr>
                <w:rFonts w:hAnsi="宋体"/>
                <w:b/>
              </w:rPr>
              <w:t>目标：</w:t>
            </w:r>
          </w:p>
          <w:p w14:paraId="5A4C6A79">
            <w:pPr>
              <w:spacing w:line="360" w:lineRule="auto"/>
              <w:ind w:hanging="8"/>
              <w:rPr>
                <w:rFonts w:hint="eastAsia" w:ascii="Times New Roman" w:hAnsi="宋体" w:eastAsia="宋体"/>
                <w:bCs/>
                <w:szCs w:val="20"/>
                <w:lang w:eastAsia="zh-CN"/>
              </w:rPr>
            </w:pPr>
            <w:r>
              <w:rPr>
                <w:rFonts w:ascii="Times New Roman" w:hAnsi="Times New Roman"/>
                <w:szCs w:val="20"/>
              </w:rPr>
              <w:t>1</w:t>
            </w:r>
            <w:r>
              <w:rPr>
                <w:rFonts w:ascii="Times New Roman" w:hAnsi="宋体"/>
                <w:bCs/>
                <w:szCs w:val="20"/>
              </w:rPr>
              <w:t>．</w:t>
            </w:r>
            <w:r>
              <w:rPr>
                <w:rFonts w:hint="eastAsia" w:ascii="Times New Roman" w:hAnsi="宋体"/>
                <w:bCs/>
                <w:szCs w:val="20"/>
              </w:rPr>
              <w:t>明白生命的意义，珍爱生命。</w:t>
            </w:r>
          </w:p>
          <w:p w14:paraId="7FE965F4">
            <w:pPr>
              <w:spacing w:line="360" w:lineRule="auto"/>
              <w:ind w:hanging="8"/>
              <w:rPr>
                <w:rFonts w:hint="eastAsia" w:ascii="Times New Roman" w:hAnsi="宋体" w:eastAsia="宋体"/>
                <w:bCs/>
                <w:szCs w:val="20"/>
                <w:lang w:eastAsia="zh-CN"/>
              </w:rPr>
            </w:pPr>
            <w:r>
              <w:rPr>
                <w:rFonts w:ascii="Times New Roman" w:hAnsi="Times New Roman"/>
                <w:szCs w:val="20"/>
              </w:rPr>
              <w:t>2</w:t>
            </w:r>
            <w:r>
              <w:rPr>
                <w:rFonts w:ascii="Times New Roman" w:hAnsi="宋体"/>
                <w:bCs/>
                <w:szCs w:val="20"/>
              </w:rPr>
              <w:t>．</w:t>
            </w:r>
            <w:r>
              <w:rPr>
                <w:rFonts w:hint="eastAsia" w:ascii="Times New Roman" w:hAnsi="宋体"/>
                <w:bCs/>
                <w:szCs w:val="20"/>
                <w:lang w:eastAsia="zh-CN"/>
              </w:rPr>
              <w:t>明确干预心理危机，保持心理健康。</w:t>
            </w:r>
          </w:p>
          <w:p w14:paraId="2316A8AB">
            <w:pPr>
              <w:spacing w:line="360" w:lineRule="auto"/>
              <w:ind w:hanging="8"/>
              <w:jc w:val="left"/>
              <w:rPr>
                <w:rFonts w:ascii="Times New Roman" w:hAnsi="宋体"/>
                <w:b/>
                <w:szCs w:val="20"/>
              </w:rPr>
            </w:pPr>
            <w:r>
              <w:rPr>
                <w:rFonts w:hint="eastAsia" w:ascii="Times New Roman" w:hAnsi="宋体"/>
                <w:b/>
                <w:szCs w:val="20"/>
              </w:rPr>
              <w:t>思政育人目标：</w:t>
            </w:r>
          </w:p>
          <w:p w14:paraId="75B6325C">
            <w:pPr>
              <w:spacing w:line="360" w:lineRule="auto"/>
              <w:ind w:hanging="8"/>
              <w:jc w:val="left"/>
              <w:rPr>
                <w:rFonts w:hint="eastAsia" w:ascii="Times New Roman" w:hAnsi="宋体" w:eastAsia="宋体"/>
                <w:szCs w:val="20"/>
                <w:lang w:eastAsia="zh-CN"/>
              </w:rPr>
            </w:pPr>
            <w:r>
              <w:rPr>
                <w:rFonts w:hint="eastAsia" w:ascii="Times New Roman" w:hAnsi="宋体"/>
                <w:szCs w:val="20"/>
              </w:rPr>
              <w:t>让学生通过学习</w:t>
            </w:r>
            <w:r>
              <w:rPr>
                <w:rFonts w:hint="eastAsia" w:ascii="Times New Roman" w:hAnsi="宋体"/>
                <w:szCs w:val="20"/>
                <w:lang w:eastAsia="zh-CN"/>
              </w:rPr>
              <w:t>大学生生命教育与心理危机应对</w:t>
            </w:r>
            <w:r>
              <w:rPr>
                <w:rFonts w:hint="eastAsia" w:ascii="Times New Roman" w:hAnsi="宋体"/>
                <w:szCs w:val="20"/>
              </w:rPr>
              <w:t>，引入理论学习，</w:t>
            </w:r>
            <w:r>
              <w:rPr>
                <w:rFonts w:hint="eastAsia" w:ascii="Times New Roman" w:hAnsi="宋体"/>
                <w:szCs w:val="20"/>
                <w:lang w:eastAsia="zh-CN"/>
              </w:rPr>
              <w:t>让大学生提升受挫能力和情绪调节能力。</w:t>
            </w:r>
          </w:p>
        </w:tc>
      </w:tr>
      <w:tr w14:paraId="2A1728FA">
        <w:trPr>
          <w:trHeight w:val="567" w:hRule="atLeast"/>
          <w:jc w:val="center"/>
        </w:trPr>
        <w:tc>
          <w:tcPr>
            <w:tcW w:w="1538" w:type="dxa"/>
            <w:tcBorders>
              <w:top w:val="dashSmallGap" w:color="EF939E" w:themeColor="accent6" w:themeTint="99" w:sz="4" w:space="0"/>
              <w:bottom w:val="dashSmallGap" w:color="EE822F" w:themeColor="accent2" w:sz="4" w:space="0"/>
              <w:right w:val="dashSmallGap" w:color="EE822F" w:themeColor="accent2" w:sz="4" w:space="0"/>
            </w:tcBorders>
            <w:shd w:val="clear" w:color="auto" w:fill="FBE6D6" w:themeFill="accent2" w:themeFillTint="32"/>
            <w:vAlign w:val="center"/>
          </w:tcPr>
          <w:p w14:paraId="6C2B4C5E">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教学重难点</w:t>
            </w:r>
          </w:p>
        </w:tc>
        <w:tc>
          <w:tcPr>
            <w:tcW w:w="8667" w:type="dxa"/>
            <w:gridSpan w:val="2"/>
            <w:tcBorders>
              <w:top w:val="dashSmallGap" w:color="EF939E" w:themeColor="accent6" w:themeTint="99" w:sz="4" w:space="0"/>
              <w:left w:val="dashSmallGap" w:color="EE822F" w:themeColor="accent2" w:sz="4" w:space="0"/>
              <w:bottom w:val="dashSmallGap" w:color="EE822F" w:themeColor="accent2" w:sz="4" w:space="0"/>
            </w:tcBorders>
            <w:shd w:val="clear" w:color="auto" w:fill="FFF9F2"/>
            <w:vAlign w:val="center"/>
          </w:tcPr>
          <w:p w14:paraId="40A0F443">
            <w:pPr>
              <w:spacing w:line="360" w:lineRule="auto"/>
              <w:ind w:hanging="8"/>
              <w:rPr>
                <w:rFonts w:ascii="Times New Roman" w:hAnsi="Times New Roman"/>
                <w:b/>
                <w:szCs w:val="20"/>
              </w:rPr>
            </w:pPr>
            <w:r>
              <w:rPr>
                <w:rFonts w:hint="eastAsia" w:ascii="Times New Roman" w:hAnsi="Times New Roman"/>
                <w:b/>
                <w:szCs w:val="20"/>
              </w:rPr>
              <w:t>教学重点：</w:t>
            </w:r>
          </w:p>
          <w:p w14:paraId="75F72A6B">
            <w:pPr>
              <w:spacing w:line="360" w:lineRule="auto"/>
              <w:ind w:hanging="8"/>
              <w:rPr>
                <w:rFonts w:hint="eastAsia" w:ascii="Times New Roman" w:hAnsi="宋体"/>
                <w:szCs w:val="20"/>
              </w:rPr>
            </w:pPr>
            <w:r>
              <w:rPr>
                <w:rFonts w:hint="eastAsia" w:ascii="Times New Roman" w:hAnsi="宋体"/>
                <w:szCs w:val="20"/>
              </w:rPr>
              <w:t>生命的意义</w:t>
            </w:r>
          </w:p>
          <w:p w14:paraId="35B6593E">
            <w:pPr>
              <w:spacing w:line="360" w:lineRule="auto"/>
              <w:ind w:hanging="8"/>
              <w:rPr>
                <w:rFonts w:ascii="Times New Roman" w:hAnsi="Times New Roman"/>
                <w:b/>
                <w:szCs w:val="20"/>
              </w:rPr>
            </w:pPr>
            <w:r>
              <w:rPr>
                <w:rFonts w:hint="eastAsia" w:ascii="Times New Roman" w:hAnsi="Times New Roman"/>
                <w:b/>
                <w:szCs w:val="20"/>
              </w:rPr>
              <w:t>教学难点：</w:t>
            </w:r>
          </w:p>
          <w:p w14:paraId="6E03F56C">
            <w:pPr>
              <w:spacing w:line="360" w:lineRule="auto"/>
              <w:ind w:hanging="8"/>
              <w:rPr>
                <w:rFonts w:hint="eastAsia" w:ascii="Times New Roman" w:hAnsi="宋体" w:eastAsia="宋体"/>
                <w:szCs w:val="20"/>
                <w:lang w:eastAsia="zh-CN"/>
              </w:rPr>
            </w:pPr>
            <w:r>
              <w:rPr>
                <w:rFonts w:hint="eastAsia" w:ascii="Times New Roman" w:hAnsi="宋体"/>
                <w:szCs w:val="20"/>
              </w:rPr>
              <w:t>大学生心理危机与危机干预</w:t>
            </w:r>
          </w:p>
        </w:tc>
      </w:tr>
      <w:tr w14:paraId="6D19B846">
        <w:trPr>
          <w:trHeight w:val="567" w:hRule="atLeast"/>
          <w:jc w:val="center"/>
        </w:trPr>
        <w:tc>
          <w:tcPr>
            <w:tcW w:w="1538" w:type="dxa"/>
            <w:tcBorders>
              <w:top w:val="dashSmallGap" w:color="EE822F" w:themeColor="accent2" w:sz="4" w:space="0"/>
              <w:bottom w:val="dashSmallGap" w:color="EE822F" w:themeColor="accent2" w:sz="4" w:space="0"/>
              <w:right w:val="dashSmallGap" w:color="EE822F" w:themeColor="accent2" w:sz="4" w:space="0"/>
            </w:tcBorders>
            <w:shd w:val="clear" w:color="auto" w:fill="FBE6D6" w:themeFill="accent2" w:themeFillTint="32"/>
            <w:vAlign w:val="center"/>
          </w:tcPr>
          <w:p w14:paraId="5219354D">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教学方法</w:t>
            </w:r>
          </w:p>
        </w:tc>
        <w:tc>
          <w:tcPr>
            <w:tcW w:w="8667" w:type="dxa"/>
            <w:gridSpan w:val="2"/>
            <w:tcBorders>
              <w:top w:val="dashSmallGap" w:color="EE822F" w:themeColor="accent2" w:sz="4" w:space="0"/>
              <w:left w:val="dashSmallGap" w:color="EE822F" w:themeColor="accent2" w:sz="4" w:space="0"/>
              <w:bottom w:val="dashSmallGap" w:color="EE822F" w:themeColor="accent2" w:sz="4" w:space="0"/>
            </w:tcBorders>
            <w:shd w:val="clear" w:color="auto" w:fill="FFF9F2"/>
            <w:vAlign w:val="center"/>
          </w:tcPr>
          <w:p w14:paraId="782310F2">
            <w:pPr>
              <w:spacing w:line="360" w:lineRule="auto"/>
              <w:ind w:hanging="8"/>
              <w:rPr>
                <w:rFonts w:ascii="Times New Roman" w:hAnsi="Times New Roman"/>
                <w:szCs w:val="20"/>
              </w:rPr>
            </w:pPr>
            <w:r>
              <w:rPr>
                <w:rFonts w:hint="eastAsia" w:ascii="Times New Roman" w:hAnsi="宋体"/>
                <w:szCs w:val="20"/>
              </w:rPr>
              <w:t>讲授法、问答法、讨论法</w:t>
            </w:r>
          </w:p>
        </w:tc>
      </w:tr>
      <w:tr w14:paraId="354546A2">
        <w:trPr>
          <w:trHeight w:val="567" w:hRule="atLeast"/>
          <w:jc w:val="center"/>
        </w:trPr>
        <w:tc>
          <w:tcPr>
            <w:tcW w:w="1538" w:type="dxa"/>
            <w:tcBorders>
              <w:top w:val="dashSmallGap" w:color="EE822F" w:themeColor="accent2" w:sz="4" w:space="0"/>
              <w:bottom w:val="dashSmallGap" w:color="4874CB" w:themeColor="accent1" w:sz="4" w:space="0"/>
              <w:right w:val="dashSmallGap" w:color="EE822F" w:themeColor="accent2" w:sz="4" w:space="0"/>
            </w:tcBorders>
            <w:shd w:val="clear" w:color="auto" w:fill="FBE6D6" w:themeFill="accent2" w:themeFillTint="32"/>
            <w:vAlign w:val="center"/>
          </w:tcPr>
          <w:p w14:paraId="547D300B">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教学用具</w:t>
            </w:r>
          </w:p>
        </w:tc>
        <w:tc>
          <w:tcPr>
            <w:tcW w:w="8667" w:type="dxa"/>
            <w:gridSpan w:val="2"/>
            <w:tcBorders>
              <w:top w:val="dashSmallGap" w:color="EE822F" w:themeColor="accent2" w:sz="4" w:space="0"/>
              <w:left w:val="dashSmallGap" w:color="EE822F" w:themeColor="accent2" w:sz="4" w:space="0"/>
              <w:bottom w:val="dashSmallGap" w:color="4874CB" w:themeColor="accent1" w:sz="4" w:space="0"/>
            </w:tcBorders>
            <w:shd w:val="clear" w:color="auto" w:fill="FFF9F2"/>
            <w:vAlign w:val="center"/>
          </w:tcPr>
          <w:p w14:paraId="3174B6B3">
            <w:pPr>
              <w:spacing w:line="360" w:lineRule="auto"/>
              <w:ind w:hanging="8"/>
              <w:rPr>
                <w:rFonts w:ascii="Times New Roman" w:hAnsi="Times New Roman"/>
                <w:szCs w:val="20"/>
              </w:rPr>
            </w:pPr>
            <w:r>
              <w:rPr>
                <w:rFonts w:hint="eastAsia" w:ascii="Times New Roman" w:hAnsi="宋体"/>
                <w:szCs w:val="20"/>
              </w:rPr>
              <w:t>电脑、投影仪、</w:t>
            </w:r>
            <w:r>
              <w:rPr>
                <w:rFonts w:ascii="Times New Roman" w:hAnsi="宋体"/>
                <w:szCs w:val="20"/>
              </w:rPr>
              <w:t>多媒体</w:t>
            </w:r>
            <w:r>
              <w:rPr>
                <w:rFonts w:hint="eastAsia" w:ascii="Times New Roman" w:hAnsi="宋体"/>
                <w:szCs w:val="20"/>
              </w:rPr>
              <w:t>课件、教材</w:t>
            </w:r>
          </w:p>
        </w:tc>
      </w:tr>
      <w:tr w14:paraId="47F79B2F">
        <w:trPr>
          <w:trHeight w:val="567" w:hRule="atLeast"/>
          <w:jc w:val="center"/>
        </w:trPr>
        <w:tc>
          <w:tcPr>
            <w:tcW w:w="1538" w:type="dxa"/>
            <w:tcBorders>
              <w:top w:val="dashSmallGap" w:color="4874CB" w:themeColor="accent1" w:sz="4" w:space="0"/>
              <w:bottom w:val="double" w:color="833F0A" w:themeColor="accent2" w:themeShade="7F" w:sz="4" w:space="0"/>
              <w:right w:val="dashSmallGap" w:color="4874CB" w:themeColor="accent1" w:sz="4" w:space="0"/>
            </w:tcBorders>
            <w:shd w:val="clear" w:color="auto" w:fill="C6DFF7"/>
            <w:vAlign w:val="center"/>
          </w:tcPr>
          <w:p w14:paraId="66F37B19">
            <w:pPr>
              <w:spacing w:line="360" w:lineRule="auto"/>
              <w:ind w:hanging="8"/>
              <w:jc w:val="center"/>
              <w:rPr>
                <w:rFonts w:hint="eastAsia" w:ascii="黑体" w:hAnsi="黑体" w:eastAsia="黑体" w:cs="黑体"/>
                <w:b/>
                <w:szCs w:val="20"/>
              </w:rPr>
            </w:pPr>
            <w:r>
              <w:rPr>
                <w:rFonts w:hint="eastAsia" w:ascii="黑体" w:hAnsi="黑体" w:eastAsia="黑体" w:cs="黑体"/>
                <w:b/>
                <w:szCs w:val="20"/>
              </w:rPr>
              <w:t>教学设计</w:t>
            </w:r>
          </w:p>
        </w:tc>
        <w:tc>
          <w:tcPr>
            <w:tcW w:w="8667" w:type="dxa"/>
            <w:gridSpan w:val="2"/>
            <w:tcBorders>
              <w:top w:val="dashSmallGap" w:color="4874CB" w:themeColor="accent1" w:sz="4" w:space="0"/>
              <w:left w:val="dashSmallGap" w:color="4874CB" w:themeColor="accent1" w:sz="4" w:space="0"/>
              <w:bottom w:val="double" w:color="833F0A" w:themeColor="accent2" w:themeShade="7F" w:sz="4" w:space="0"/>
            </w:tcBorders>
            <w:shd w:val="clear" w:color="auto" w:fill="EBF5FF"/>
            <w:vAlign w:val="center"/>
          </w:tcPr>
          <w:p w14:paraId="0D4446CC">
            <w:pPr>
              <w:spacing w:line="360" w:lineRule="auto"/>
              <w:rPr>
                <w:rFonts w:ascii="Times New Roman" w:hAnsi="宋体"/>
                <w:szCs w:val="20"/>
              </w:rPr>
            </w:pPr>
            <w:r>
              <w:rPr>
                <w:rFonts w:hint="eastAsia" w:ascii="Times New Roman" w:hAnsi="宋体"/>
                <w:szCs w:val="20"/>
              </w:rPr>
              <w:t>第1节课：激趣导入（15min）--传授新知（30min）</w:t>
            </w:r>
          </w:p>
          <w:p w14:paraId="5F6B9524">
            <w:pPr>
              <w:spacing w:line="360" w:lineRule="auto"/>
              <w:rPr>
                <w:rFonts w:hint="eastAsia" w:ascii="Times New Roman" w:hAnsi="宋体"/>
                <w:szCs w:val="20"/>
              </w:rPr>
            </w:pPr>
            <w:r>
              <w:rPr>
                <w:rFonts w:hint="eastAsia" w:ascii="Times New Roman" w:hAnsi="宋体"/>
                <w:szCs w:val="20"/>
              </w:rPr>
              <w:t>第</w:t>
            </w:r>
            <w:r>
              <w:rPr>
                <w:rFonts w:ascii="Times New Roman" w:hAnsi="宋体"/>
                <w:szCs w:val="20"/>
              </w:rPr>
              <w:t>2</w:t>
            </w:r>
            <w:r>
              <w:rPr>
                <w:rFonts w:hint="eastAsia" w:ascii="Times New Roman" w:hAnsi="宋体"/>
                <w:szCs w:val="20"/>
              </w:rPr>
              <w:t>节课：继续探索（</w:t>
            </w:r>
            <w:r>
              <w:rPr>
                <w:rFonts w:hint="eastAsia" w:ascii="Times New Roman" w:hAnsi="宋体"/>
                <w:szCs w:val="20"/>
                <w:lang w:val="en-US" w:eastAsia="zh-CN"/>
              </w:rPr>
              <w:t>40</w:t>
            </w:r>
            <w:r>
              <w:rPr>
                <w:rFonts w:hint="eastAsia" w:ascii="Times New Roman" w:hAnsi="宋体"/>
                <w:szCs w:val="20"/>
              </w:rPr>
              <w:t>min）----课堂小结（3min）--作业布置（2min）</w:t>
            </w:r>
          </w:p>
        </w:tc>
      </w:tr>
      <w:tr w14:paraId="74F94E37">
        <w:trPr>
          <w:trHeight w:val="567" w:hRule="atLeast"/>
          <w:jc w:val="center"/>
        </w:trPr>
        <w:tc>
          <w:tcPr>
            <w:tcW w:w="1538" w:type="dxa"/>
            <w:tcBorders>
              <w:top w:val="double" w:color="833F0A" w:themeColor="accent2" w:themeShade="7F" w:sz="4" w:space="0"/>
              <w:bottom w:val="double" w:color="833F0A" w:themeColor="accent2" w:themeShade="7F" w:sz="4" w:space="0"/>
              <w:right w:val="single" w:color="833F0A" w:themeColor="accent2" w:themeShade="7F" w:sz="4" w:space="0"/>
            </w:tcBorders>
            <w:shd w:val="clear" w:color="auto" w:fill="ACD78D" w:themeFill="accent4" w:themeFillTint="99"/>
            <w:vAlign w:val="center"/>
          </w:tcPr>
          <w:p w14:paraId="34394223">
            <w:pPr>
              <w:spacing w:line="360" w:lineRule="auto"/>
              <w:ind w:hanging="8"/>
              <w:jc w:val="center"/>
              <w:rPr>
                <w:rFonts w:hint="eastAsia" w:ascii="黑体" w:hAnsi="黑体" w:eastAsia="黑体" w:cs="黑体"/>
                <w:b w:val="0"/>
                <w:bCs w:val="0"/>
                <w:color w:val="843F0B" w:themeColor="accent2" w:themeShade="80"/>
                <w:szCs w:val="24"/>
              </w:rPr>
            </w:pPr>
            <w:r>
              <w:rPr>
                <w:rFonts w:hint="eastAsia" w:ascii="黑体" w:hAnsi="黑体" w:eastAsia="黑体" w:cs="黑体"/>
                <w:b w:val="0"/>
                <w:bCs w:val="0"/>
                <w:color w:val="843F0B" w:themeColor="accent2" w:themeShade="80"/>
                <w:szCs w:val="24"/>
              </w:rPr>
              <w:t>教学过程</w:t>
            </w:r>
          </w:p>
        </w:tc>
        <w:tc>
          <w:tcPr>
            <w:tcW w:w="7050" w:type="dxa"/>
            <w:tcBorders>
              <w:top w:val="double" w:color="833F0A" w:themeColor="accent2" w:themeShade="7F" w:sz="4" w:space="0"/>
              <w:left w:val="single" w:color="833F0A" w:themeColor="accent2" w:themeShade="7F" w:sz="4" w:space="0"/>
              <w:bottom w:val="double" w:color="833F0A" w:themeColor="accent2" w:themeShade="7F" w:sz="4" w:space="0"/>
              <w:right w:val="single" w:color="833F0A" w:themeColor="accent2" w:themeShade="7F" w:sz="4" w:space="0"/>
            </w:tcBorders>
            <w:shd w:val="clear" w:color="auto" w:fill="ACD78D" w:themeFill="accent4" w:themeFillTint="99"/>
            <w:vAlign w:val="center"/>
          </w:tcPr>
          <w:p w14:paraId="21F959F7">
            <w:pPr>
              <w:spacing w:line="360" w:lineRule="auto"/>
              <w:jc w:val="center"/>
              <w:rPr>
                <w:rFonts w:hint="eastAsia" w:ascii="黑体" w:hAnsi="黑体" w:eastAsia="黑体" w:cs="黑体"/>
                <w:b w:val="0"/>
                <w:bCs w:val="0"/>
                <w:color w:val="843F0B" w:themeColor="accent2" w:themeShade="80"/>
                <w:szCs w:val="20"/>
              </w:rPr>
            </w:pPr>
            <w:r>
              <w:rPr>
                <w:rFonts w:hint="eastAsia" w:ascii="黑体" w:hAnsi="黑体" w:eastAsia="黑体" w:cs="黑体"/>
                <w:b w:val="0"/>
                <w:bCs w:val="0"/>
                <w:color w:val="843F0B" w:themeColor="accent2" w:themeShade="80"/>
                <w:szCs w:val="24"/>
              </w:rPr>
              <w:t>主 要 教 学 内 容 及 步 骤</w:t>
            </w:r>
          </w:p>
        </w:tc>
        <w:tc>
          <w:tcPr>
            <w:tcW w:w="1617" w:type="dxa"/>
            <w:tcBorders>
              <w:top w:val="double" w:color="833F0A" w:themeColor="accent2" w:themeShade="7F" w:sz="4" w:space="0"/>
              <w:left w:val="single" w:color="833F0A" w:themeColor="accent2" w:themeShade="7F" w:sz="4" w:space="0"/>
              <w:bottom w:val="double" w:color="833F0A" w:themeColor="accent2" w:themeShade="7F" w:sz="4" w:space="0"/>
            </w:tcBorders>
            <w:shd w:val="clear" w:color="auto" w:fill="ACD78D" w:themeFill="accent4" w:themeFillTint="99"/>
            <w:vAlign w:val="center"/>
          </w:tcPr>
          <w:p w14:paraId="7E8E2924">
            <w:pPr>
              <w:spacing w:line="360" w:lineRule="auto"/>
              <w:jc w:val="center"/>
              <w:rPr>
                <w:rFonts w:hint="eastAsia" w:ascii="黑体" w:hAnsi="黑体" w:eastAsia="黑体" w:cs="黑体"/>
                <w:b w:val="0"/>
                <w:bCs w:val="0"/>
                <w:color w:val="843F0B" w:themeColor="accent2" w:themeShade="80"/>
                <w:szCs w:val="20"/>
              </w:rPr>
            </w:pPr>
            <w:r>
              <w:rPr>
                <w:rFonts w:hint="eastAsia" w:ascii="黑体" w:hAnsi="黑体" w:eastAsia="黑体" w:cs="黑体"/>
                <w:b w:val="0"/>
                <w:bCs w:val="0"/>
                <w:color w:val="843F0B" w:themeColor="accent2" w:themeShade="80"/>
                <w:szCs w:val="20"/>
              </w:rPr>
              <w:t>设计意图</w:t>
            </w:r>
          </w:p>
        </w:tc>
      </w:tr>
      <w:tr w14:paraId="400EE313">
        <w:trPr>
          <w:trHeight w:val="567" w:hRule="atLeast"/>
          <w:jc w:val="center"/>
        </w:trPr>
        <w:tc>
          <w:tcPr>
            <w:tcW w:w="1538" w:type="dxa"/>
            <w:tcBorders>
              <w:top w:val="double" w:color="833F0A" w:themeColor="accent2" w:themeShade="7F" w:sz="4" w:space="0"/>
              <w:bottom w:val="dashSmallGap" w:color="E54C5E" w:themeColor="accent6" w:sz="4" w:space="0"/>
              <w:right w:val="dashSmallGap" w:color="833F0A" w:themeColor="accent2" w:themeShade="7F" w:sz="4" w:space="0"/>
            </w:tcBorders>
            <w:shd w:val="clear" w:color="auto" w:fill="FEFFE9"/>
            <w:vAlign w:val="center"/>
          </w:tcPr>
          <w:p w14:paraId="5DBB22E2">
            <w:pPr>
              <w:spacing w:line="360" w:lineRule="auto"/>
              <w:rPr>
                <w:rFonts w:ascii="微软雅黑" w:hAnsi="微软雅黑" w:eastAsia="微软雅黑"/>
                <w:b/>
                <w:sz w:val="24"/>
                <w:szCs w:val="24"/>
              </w:rPr>
            </w:pPr>
          </w:p>
          <w:p w14:paraId="182662C3">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激趣导入</w:t>
            </w:r>
          </w:p>
          <w:p w14:paraId="4AA7C3F9">
            <w:pPr>
              <w:spacing w:line="360" w:lineRule="auto"/>
              <w:ind w:hanging="8"/>
              <w:jc w:val="center"/>
              <w:rPr>
                <w:rFonts w:ascii="Times New Roman" w:hAnsi="Times New Roman"/>
                <w:b/>
                <w:szCs w:val="24"/>
              </w:rPr>
            </w:pPr>
            <w:r>
              <w:rPr>
                <w:rFonts w:ascii="Times New Roman" w:hAnsi="Times New Roman"/>
                <w:color w:val="843F0B" w:themeColor="accent2" w:themeShade="80"/>
                <w:szCs w:val="24"/>
              </w:rPr>
              <w:t>（15</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ouble" w:color="833F0A" w:themeColor="accent2" w:themeShade="7F" w:sz="4" w:space="0"/>
              <w:left w:val="dashSmallGap" w:color="833F0A" w:themeColor="accent2" w:themeShade="7F" w:sz="4" w:space="0"/>
              <w:bottom w:val="dashSmallGap" w:color="E54C5E" w:themeColor="accent6" w:sz="4" w:space="0"/>
              <w:right w:val="dashSmallGap" w:color="833F0A" w:themeColor="accent2" w:themeShade="7F" w:sz="4" w:space="0"/>
            </w:tcBorders>
            <w:vAlign w:val="center"/>
          </w:tcPr>
          <w:p w14:paraId="4FBF39C4">
            <w:pPr>
              <w:spacing w:line="360" w:lineRule="auto"/>
              <w:rPr>
                <w:rFonts w:hint="eastAsia" w:ascii="Times New Roman" w:hAnsi="Times New Roman"/>
                <w:b/>
                <w:bCs w:val="0"/>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lang w:val="en-US" w:eastAsia="zh-CN"/>
              </w:rPr>
              <w:t>讲解故事</w:t>
            </w:r>
          </w:p>
          <w:p w14:paraId="5F69F778">
            <w:pPr>
              <w:spacing w:line="360" w:lineRule="auto"/>
              <w:ind w:firstLine="420" w:firstLineChars="200"/>
              <w:jc w:val="center"/>
              <w:rPr>
                <w:rFonts w:hint="eastAsia" w:ascii="宋体" w:hAnsi="宋体" w:cs="宋体"/>
                <w:b/>
                <w:bCs w:val="0"/>
                <w:kern w:val="0"/>
                <w:szCs w:val="24"/>
              </w:rPr>
            </w:pPr>
            <w:r>
              <w:rPr>
                <w:rFonts w:hint="eastAsia" w:ascii="宋体" w:hAnsi="宋体" w:cs="宋体"/>
                <w:b/>
                <w:bCs w:val="0"/>
                <w:kern w:val="0"/>
                <w:szCs w:val="24"/>
              </w:rPr>
              <w:t>世上没有人可以支持你一生</w:t>
            </w:r>
          </w:p>
          <w:p w14:paraId="3CEE3D1D">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别人可以在必要时扶你一把，但别人还有别人的事，他不能变成你的一部分来永远支持你，只有靠自己。</w:t>
            </w:r>
          </w:p>
          <w:p w14:paraId="0E5CD32B">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寂寞时，把寂寞当成调料；</w:t>
            </w:r>
          </w:p>
          <w:p w14:paraId="476B3270">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失意时，就当它是一次玩笑；</w:t>
            </w:r>
          </w:p>
          <w:p w14:paraId="030F153E">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悲伤时，在月光下静坐，认真品一品喧嚣后的宁静；</w:t>
            </w:r>
          </w:p>
          <w:p w14:paraId="6F1FAD49">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失败时，在无人处哭上一场，然后便有一分钟后的思索。虽然你失败了，但失败者只要有勇气站起来，仍是一座丰碑。脚印只有在生活的泥泞中才会深刻勇敢地抬起头来，因为你已经长大，让自信的微笑抚去你脸上的泪。</w:t>
            </w:r>
          </w:p>
          <w:p w14:paraId="06443DC3">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成功与失败，喜悦与忧伤对我们来说都是生活的馈赠，失败是成功的一角，是跋涉中的休息，重新振作起来，草依然绿、水依然流。忧伤是生活中的阴雨，淅淅沥沥的雨自有一番诗意，何况雨过天晴，阳光依然灿烂，天空依然湛蓝。</w:t>
            </w:r>
          </w:p>
          <w:p w14:paraId="1029156D">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回忆过去是痛苦的，但沉醉于痛苦却能得到一种解脱，不要去在意，重要的是如何迎接明天。</w:t>
            </w:r>
          </w:p>
          <w:p w14:paraId="659BC908">
            <w:pPr>
              <w:spacing w:line="360" w:lineRule="auto"/>
              <w:ind w:firstLine="420" w:firstLineChars="200"/>
              <w:rPr>
                <w:rFonts w:ascii="宋体" w:hAnsi="宋体" w:cs="宋体"/>
                <w:b/>
                <w:kern w:val="0"/>
                <w:szCs w:val="24"/>
              </w:rPr>
            </w:pPr>
            <w:r>
              <w:rPr>
                <w:rFonts w:hint="eastAsia" w:ascii="宋体" w:hAnsi="宋体" w:cs="宋体"/>
                <w:b w:val="0"/>
                <w:bCs/>
                <w:kern w:val="0"/>
                <w:szCs w:val="24"/>
              </w:rPr>
              <w:t>太阳还在朝升夕落，地球还在不停地转动，我们怎能让青春永驻人间？失去的不必追悔，拥有的必须珍惜！</w:t>
            </w:r>
          </w:p>
          <w:p w14:paraId="4DAC1EE9">
            <w:pPr>
              <w:spacing w:line="360" w:lineRule="auto"/>
              <w:rPr>
                <w:rFonts w:ascii="Times New Roman" w:hAnsi="Times New Roman"/>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发言，分享</w:t>
            </w:r>
            <w:r>
              <w:rPr>
                <w:rFonts w:hint="eastAsia" w:ascii="Times New Roman" w:hAnsi="Times New Roman"/>
                <w:b/>
                <w:color w:val="CC0066"/>
                <w:lang w:eastAsia="zh-CN"/>
              </w:rPr>
              <w:t>见解</w:t>
            </w:r>
            <w:r>
              <w:rPr>
                <w:rFonts w:hint="eastAsia" w:ascii="Times New Roman" w:hAnsi="Times New Roman"/>
                <w:b/>
                <w:color w:val="CC0066"/>
              </w:rPr>
              <w:t>。</w:t>
            </w:r>
          </w:p>
        </w:tc>
        <w:tc>
          <w:tcPr>
            <w:tcW w:w="1617" w:type="dxa"/>
            <w:tcBorders>
              <w:top w:val="double" w:color="833F0A" w:themeColor="accent2" w:themeShade="7F" w:sz="4" w:space="0"/>
              <w:left w:val="dashSmallGap" w:color="833F0A" w:themeColor="accent2" w:themeShade="7F" w:sz="4" w:space="0"/>
              <w:bottom w:val="dashSmallGap" w:color="E54C5E" w:themeColor="accent6" w:sz="4" w:space="0"/>
            </w:tcBorders>
            <w:shd w:val="clear" w:color="auto" w:fill="auto"/>
            <w:vAlign w:val="center"/>
          </w:tcPr>
          <w:p w14:paraId="0639F982">
            <w:pPr>
              <w:spacing w:line="360" w:lineRule="auto"/>
              <w:jc w:val="both"/>
              <w:rPr>
                <w:rFonts w:ascii="Times New Roman" w:hAnsi="Times New Roman"/>
                <w:b/>
                <w:szCs w:val="24"/>
              </w:rPr>
            </w:pPr>
            <w:r>
              <w:rPr>
                <w:rFonts w:hint="eastAsia" w:ascii="Times New Roman" w:hAnsi="Times New Roman"/>
                <w:b w:val="0"/>
                <w:bCs/>
                <w:szCs w:val="24"/>
              </w:rPr>
              <w:t>通过</w:t>
            </w:r>
            <w:r>
              <w:rPr>
                <w:rFonts w:hint="eastAsia" w:ascii="Times New Roman" w:hAnsi="Times New Roman"/>
                <w:b w:val="0"/>
                <w:bCs/>
                <w:szCs w:val="24"/>
                <w:lang w:val="en-US" w:eastAsia="zh-CN"/>
              </w:rPr>
              <w:t>聆听故事</w:t>
            </w:r>
            <w:r>
              <w:rPr>
                <w:rFonts w:hint="eastAsia" w:ascii="Times New Roman" w:hAnsi="Times New Roman"/>
                <w:b w:val="0"/>
                <w:bCs/>
                <w:szCs w:val="24"/>
              </w:rPr>
              <w:t>，让学生了解</w:t>
            </w:r>
            <w:r>
              <w:rPr>
                <w:rFonts w:hint="eastAsia" w:ascii="Times New Roman" w:hAnsi="Times New Roman"/>
                <w:b w:val="0"/>
                <w:bCs/>
                <w:szCs w:val="24"/>
                <w:lang w:eastAsia="zh-CN"/>
              </w:rPr>
              <w:t>心理学</w:t>
            </w:r>
            <w:r>
              <w:rPr>
                <w:rFonts w:hint="eastAsia" w:ascii="Times New Roman" w:hAnsi="Times New Roman"/>
                <w:b w:val="0"/>
                <w:bCs/>
                <w:szCs w:val="24"/>
              </w:rPr>
              <w:t>，激发学生的学习欲望。</w:t>
            </w:r>
          </w:p>
        </w:tc>
      </w:tr>
      <w:tr w14:paraId="66D132EF">
        <w:trPr>
          <w:trHeight w:val="567" w:hRule="atLeast"/>
          <w:jc w:val="center"/>
        </w:trPr>
        <w:tc>
          <w:tcPr>
            <w:tcW w:w="1538" w:type="dxa"/>
            <w:tcBorders>
              <w:top w:val="dashSmallGap" w:color="E54C5E" w:themeColor="accent6" w:sz="4" w:space="0"/>
              <w:bottom w:val="dashSmallGap" w:color="E54C5E" w:themeColor="accent6" w:sz="4" w:space="0"/>
              <w:right w:val="dashSmallGap" w:color="E54C5E" w:themeColor="accent6" w:sz="4" w:space="0"/>
            </w:tcBorders>
            <w:shd w:val="clear" w:color="auto" w:fill="F9DBDF" w:themeFill="accent6" w:themeFillTint="32"/>
            <w:vAlign w:val="center"/>
          </w:tcPr>
          <w:p w14:paraId="433EB227">
            <w:pPr>
              <w:spacing w:line="360" w:lineRule="auto"/>
              <w:jc w:val="center"/>
              <w:rPr>
                <w:rFonts w:ascii="微软雅黑" w:hAnsi="微软雅黑" w:eastAsia="微软雅黑"/>
                <w:b/>
                <w:color w:val="851321" w:themeColor="accent6" w:themeShade="80"/>
                <w:sz w:val="24"/>
                <w:szCs w:val="24"/>
              </w:rPr>
            </w:pPr>
            <w:r>
              <w:rPr>
                <w:rFonts w:ascii="微软雅黑" w:hAnsi="微软雅黑" w:eastAsia="微软雅黑"/>
                <w:b/>
                <w:color w:val="851321" w:themeColor="accent6" w:themeShade="80"/>
                <w:sz w:val="24"/>
                <w:szCs w:val="24"/>
              </w:rPr>
              <w:t>传授新知</w:t>
            </w:r>
          </w:p>
          <w:p w14:paraId="2D725B28">
            <w:pPr>
              <w:spacing w:line="360" w:lineRule="auto"/>
              <w:jc w:val="center"/>
              <w:rPr>
                <w:rFonts w:ascii="微软雅黑" w:hAnsi="微软雅黑" w:eastAsia="微软雅黑"/>
                <w:b/>
                <w:sz w:val="24"/>
                <w:szCs w:val="24"/>
              </w:rPr>
            </w:pPr>
            <w:r>
              <w:rPr>
                <w:rFonts w:ascii="Times New Roman" w:hAnsi="Times New Roman"/>
                <w:color w:val="851321" w:themeColor="accent6" w:themeShade="80"/>
                <w:szCs w:val="24"/>
              </w:rPr>
              <w:t>（30</w:t>
            </w:r>
            <w:r>
              <w:rPr>
                <w:rFonts w:hint="eastAsia" w:ascii="Times New Roman" w:hAnsi="Times New Roman"/>
                <w:color w:val="851321" w:themeColor="accent6" w:themeShade="80"/>
                <w:szCs w:val="24"/>
              </w:rPr>
              <w:t>min</w:t>
            </w:r>
            <w:r>
              <w:rPr>
                <w:rFonts w:ascii="Times New Roman" w:hAnsi="Times New Roman"/>
                <w:color w:val="851321" w:themeColor="accent6" w:themeShade="80"/>
                <w:szCs w:val="24"/>
              </w:rPr>
              <w:t>）</w:t>
            </w:r>
          </w:p>
        </w:tc>
        <w:tc>
          <w:tcPr>
            <w:tcW w:w="7050" w:type="dxa"/>
            <w:tcBorders>
              <w:top w:val="dashSmallGap" w:color="E54C5E" w:themeColor="accent6" w:sz="4" w:space="0"/>
              <w:left w:val="dashSmallGap" w:color="E54C5E" w:themeColor="accent6" w:sz="4" w:space="0"/>
              <w:bottom w:val="dashSmallGap" w:color="E54C5E" w:themeColor="accent6" w:sz="4" w:space="0"/>
              <w:right w:val="dashSmallGap" w:color="E54C5E" w:themeColor="accent6" w:sz="4" w:space="0"/>
            </w:tcBorders>
            <w:vAlign w:val="center"/>
          </w:tcPr>
          <w:p w14:paraId="463A424D">
            <w:pPr>
              <w:pStyle w:val="11"/>
              <w:keepNext/>
              <w:keepLines/>
              <w:spacing w:line="360" w:lineRule="auto"/>
              <w:rPr>
                <w:rFonts w:ascii="Times New Roman" w:hAnsi="Times New Roman" w:cs="Times New Roman"/>
                <w:b/>
                <w:color w:val="auto"/>
                <w:sz w:val="21"/>
                <w:szCs w:val="24"/>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bCs/>
                <w:color w:val="CC0066"/>
                <w:sz w:val="21"/>
                <w:szCs w:val="22"/>
                <w:lang w:val="en-US" w:eastAsia="zh-CN" w:bidi="ar-SA"/>
              </w:rPr>
              <w:t>讲解生命的意义</w:t>
            </w:r>
          </w:p>
          <w:p w14:paraId="372FA50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一、生命含义</w:t>
            </w:r>
          </w:p>
          <w:p w14:paraId="639FC3D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生命泛指有机物和水构成的，一个或多个细胞组成的一类具有稳定的物质和能量代谢现象，能回应刺激、能进行自我复制（繁殖）的半开放物质系统。从这个定义来看，生命首先是由有机物和水构成的细胞组成的，非细胞物质无法构成生命；其次由细胞构成的生命具有稳定的物质和能量代谢特性。所谓物质和能量代谢，主要是指能够稳定地从外界获取物质和能量并将体内产生的废物和多余的热量排放到外界，这也就是我们所说的新陈代谢，只要生命的新陈代谢还在，我们就认为生命还存在，比如植物人，虽然意识和认知活动减弱甚至消失，但机体依然能够进行新陈代谢，所以依然活着；其三，生命具有自我复制的本性追求。不论是什么生命，从病毒和细菌的简单复制到人类的结婚生子，都是为了生命的复制和繁衍，这是生命的本质属性之一。</w:t>
            </w:r>
          </w:p>
          <w:p w14:paraId="19FD6EA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从这个定义来看，作为生命的这个特殊的半开放物质系统和其他物质系统相比较，它具有以下两大属性：</w:t>
            </w:r>
          </w:p>
          <w:p w14:paraId="769DCEB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1. 任何一个生命系统存在之后，都会尽量维持新陈代谢活动的延续，换一句话说，就是任何生命都要想办法让自己活着，让自己活着是生命的本质属性，活着是生命的重大追求之一。</w:t>
            </w:r>
          </w:p>
          <w:p w14:paraId="6B8CDFE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2. 任何生命都会进行自我复制，也就是把自己的生命用另外一种方式延续下去，也就是说，延续自己生命是任何生命体的第二大属性。</w:t>
            </w:r>
          </w:p>
          <w:p w14:paraId="19026B0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二、生命的性质</w:t>
            </w:r>
          </w:p>
          <w:p w14:paraId="5C38EC6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（一）生命的存在性</w:t>
            </w:r>
          </w:p>
          <w:p w14:paraId="50B82FD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存在性作为生命的特征包含两方面的含义：</w:t>
            </w:r>
          </w:p>
          <w:p w14:paraId="65DF074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第一，“这个存在者的存在总是我的存在”，即生命具有个体性。任何生命都是独一无二，不可替代的。而且，正是生命独特的个性，赋予人的存在以独一无二的价值，使任何人的存在都具有其合法性，在世界上具有不可替代的地位和作用。</w:t>
            </w:r>
          </w:p>
          <w:p w14:paraId="32A16B8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第二，存在的本质在于“它的实在”，即生命在其存在过程中获得的规定和本质。生命实在性是其个体性决定的。因为，没有个性的生命只能是理性的抽象，不存在于现实世界，因而不具有实在性，且没有任何意义和价值。</w:t>
            </w:r>
          </w:p>
          <w:p w14:paraId="7CE5B07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（二）生命的有限性</w:t>
            </w:r>
          </w:p>
          <w:p w14:paraId="23CB3AE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生命的有限性表现为以下几个方面：</w:t>
            </w:r>
          </w:p>
          <w:p w14:paraId="5AFD736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第一，“我们在现世的人生无论是什么样子，也无论它会延续多长时间，我们总是要背负着在时间中存在的重任”，即生命具有时间性。而时间是不可逆转、不可重复的，它融会了过去、现在和未来，死是未来的一种方式。自我的存在从自我的存在那一刻起，就把这个方式接过来，因而生命有它自己的开始，也有自己的终结；而终结——死亡就是生命的限制，是生命“最本原的可能性”。</w:t>
            </w:r>
          </w:p>
          <w:p w14:paraId="00C4E7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第二，生命处于变化的时间之流，因而，生命是不确定的。正是由于生命的不确定，决定了生命具有未完成性。人的历史没有一个完成的期限，人永远是可能性的存在。不论人的现在怎样，可能性永远高于现实性，人永远处于完成的过程之中。而且，无论人怎样去完成，愿望的实现一般来说都会留下一部分的不满足，且由于生命具有时间性，因此每个满足都有其暂时性，必定仍有可能性需要完成。可以说，生命是永远“未完成的”，而“随着死亡，生命不仅没有穷尽它特有的种种可能性，反倒是被取走了这些可能性，因为‘未完成的生命’也因此而结束了”。</w:t>
            </w:r>
          </w:p>
          <w:p w14:paraId="1320B04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第三，生命的未完成性决定了生命是不完整的。不完整的生命要想在世界上立存，必然对周围的环境具有依赖性。因为“生命在现实中绝不可能仅只能服从于我们的支配能力。如果丧失周围世界对我们施加限制的无数要素；如果离开一切他人和他物，那我们也就丧失了活动空间”。首先生命依赖于自然环境。虽然面对自然，人可以毫无愧色地说，只有人才真正称得上“万物之灵”，但是，自然界是人存在的基础，如果其他生物离开了我们，人类将因难耐的孤独而死去。人是自然存在物，同时，人也是社会存在物，</w:t>
            </w:r>
          </w:p>
          <w:p w14:paraId="1A696B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的本质在其现实性上是一切社会关系的总和。只有在社会中，只有在集体中，个人才能获得其全面发展的手段。总之，生命是互相依赖、互相依存的。任何生命都有其固有的局限性，只有借助于他物、他人才能达到个体生命的“完美”。</w:t>
            </w:r>
          </w:p>
          <w:p w14:paraId="194C39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（三）生命的更新性</w:t>
            </w:r>
          </w:p>
          <w:p w14:paraId="62B2857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生命的更新性不是指人体不断进行的新陈代谢，也不是简单地指生命在变化的时间之流中的川流不息的更换过程，而是指人类生命所独具的创新性。生命的本质处于不断的生成和不断的建构中，生命有永远向着未来开放的可能性，生命的这种未完成性决定了生命具有更新性。</w:t>
            </w:r>
          </w:p>
          <w:p w14:paraId="342BFF6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三、人的生命的独特性</w:t>
            </w:r>
          </w:p>
          <w:p w14:paraId="57F7D76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通过前面的分析我们知道，任何一个生命体，都是物质世界亿万年变化的结果，都是大自然神奇力量的杰作，任何一个生命体都会尽最大的努力维持自己的新陈代谢活动的继续——活着，作为生命中一员的人类当然也不能例外。不过在观察人类个体时，我们会发现，人类的绝大多数个体都会尽量维持机体新陈代谢，克服万难让自己活着，但是也有少部分个体会因为这样或者那样的事情想不开，主动结束自己的生命——自杀。为什么只有拥有最高级生命的人类会出现主动结束自己生命的现象呢？</w:t>
            </w:r>
          </w:p>
          <w:p w14:paraId="48C6E2B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为什么更高级生命的人类个体，会出现违背追求——活着这一基本特征的行为呢？原因可能是人比其他生命个体高级，只有人类才会有意识地把个体成员当成改造的对象进行系统地雕琢（社会化过程）以求达到适应环境的目的。其他生物对环境的适应是通过基因选择在一代又一代之间进行的，而人类不一样，人类一生下来就会受教育，到了一定的年龄开始自己学习和自我改造。这个改造的过程让人学会语言、各种生存技能以及各种信念价值观等。这个过程使长得不是最好，跑得不是最快，力气不是最大等很多方面都要远远不如其他生物的人类最终成了地球的主人，体现出了人相对于其他生命的高级性。从整体上来说，社会化的过程让我们人类和绝大多数的个体获得了巨大优势。但是从每一个个体来说，社会化的过程又是各不相同的。对于绝大多数个体来说，社会化的过程没有伤害，但对一少部分人来说，社会化的过程对他们的生命力产生了扭曲，导致他们在遇到困难的时候就会产生放弃生命的念头并可能最终自杀。本来人活着就是为了活着，结果有父母老师告诉孩子，人活着就是为了成功，就是为了出人头地；要成功，要出人头地，就必须要好好学习考上好大学。于是这些孩子就拼命学习，以求成功出人头地并实现生命的意义，但经过多次高考失败后发现自己根本考不上大学，考不上大学就无法成功，就不能出人头地。回头再看看走过的那些年，自己因为一心上学学得很累不说，什么技术也没有学，人际交往也不会，而曾和自己一起上学的同学通过打工学了技术赚了钱。对于这样的个体，从他被教育的价值观来看，活着就没有丝毫意义了，死去还能减轻父母的负担。于是对于他们来说，自杀就成了顺理成章的选择。</w:t>
            </w:r>
          </w:p>
          <w:p w14:paraId="4893D5D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由此可见，正是人类比其他生命高级的社会化过程，让人成为地球的主人，但也正是社会化过程中的失误导致部分人类个体对生命意义的误解和生命力的扭曲，最终导致自杀这一只有人才有的行为出现。</w:t>
            </w:r>
          </w:p>
          <w:p w14:paraId="4B38693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四、大学生的生命观</w:t>
            </w:r>
          </w:p>
          <w:p w14:paraId="1A4203B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一个国家适龄人口的高等教育入学率在 15% 以上，就进入了高等教育大众化时代。伴随我国高等教育大众化时代的到来，面临的问题也日趋复杂多样，其中大学生自杀、他杀等非正常死亡人数逐年增加。在校大学生的思想政治教育、生活教育、心理健康教育越发显得重要。高等学校教育工作者，越发认识到关注大学弱势群体的重要性。对其进行健康生命观教育，是十分必要的。要使生命教育正常开展，必须区分生命与自我、生命与自然、生命与社会、生命与自由的关系。必须弄清大学生生命观的四大特征：</w:t>
            </w:r>
          </w:p>
          <w:p w14:paraId="4316163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（一）生命与自我</w:t>
            </w:r>
          </w:p>
          <w:p w14:paraId="23DB397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生命”作为一个研究对象，其含义有广义和狭义之分。广义的生命是指：生物体所具有活动能力。生命是蛋白质存在的一种形式，它最基本的特征就是蛋白质能通过新陈代谢作用不断地跟周围的环境进行物质交换。狭义的生命主要指人的生命。人的生命有别于其他生物体在于人不仅仅是一个自然存在物，而且还是寻求意义的存在物。所以人的生命不仅仅是一个自然的物质生命过程，而且还是一个探寻生命意义的过程。</w:t>
            </w:r>
          </w:p>
          <w:p w14:paraId="46CB805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是一种有意识的动物。这是人的生命与动物的生命的本质区别，动物的生命仅仅是一种本能的活动，而人类的生命活动是在人类有意识地支配下进行的，不是简单本能的活动。人类的生命活动是有计划、有目的的。每个人都有自己的生存价值、意义与追求，并为之不懈努力奋斗，这是动物所没有的。人类通过自己的生命活动创造与动物不同的、人类所特有的“生命”，人是双重生命的存在。既有与动物所共有的自然生命、本能生命，也有人类所特有的价值生命、精神生命。人的生命包括自然属性与社会属性。所谓“生命”是人的生与死的过程。过去人们把生命仅仅理解为“生”，这过于狭隘。实际上生命不仅是指人的有机体所具有的活动能力，还包括对生命有机体的死亡的理解。死和生一样，不仅是人的“一个”规定性，并且是本质的规定性。成了人生性质的重要因素，生与死构成了生命的不可分离的一体两面，死亡是人固有的可能性。本真存在是“向死而生”。生命的意义必须借死亡的意义才能彰显出它的终极深意来。人的“生”与“死”是生命过程的起点与终点。</w:t>
            </w:r>
          </w:p>
          <w:p w14:paraId="48B7B47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自我”包括“生理自我”和“社会自我”。“生理自我”主要从生物生理学上讲，指人们对生命体本身，包括生理结构，生老病死等自然现象和情绪的认识；“社会自我”主要从社会层面讲，指人们对作为社会人的自我与周围人际关系的认识。只有形成科学的“自我认识”，才能客观地分析自己面临的境遇，并做出理性的选择。</w:t>
            </w:r>
          </w:p>
          <w:p w14:paraId="3038EDC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大学时期是大学生生命成长的一个黄金阶段，犹如人生的春天，但这一阶段也是人生重要的转折时期，因而显得极为脆弱而易于凋零。那么怎样才能保证大学生在大学阶段绽放美丽、健康成长、走向成熟，顺利实现人生转折呢？引导大学生探索生命历程以珍爱生命，认识生命之本以尊重生命，破解生命之谜以成全生命。</w:t>
            </w:r>
          </w:p>
          <w:p w14:paraId="606C6E6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大学生只有知道自己从哪里来，将到哪里去，对生命过程有一个科学的认识，才能去理解和思考生命所衍生、所蕴涵，才能从自然的生理的以及社会的层面去认识、把握和接纳自我。才能感受到自然客观的“我”以及与人们建立了相互关系的社会的“我”</w:t>
            </w:r>
          </w:p>
          <w:p w14:paraId="5E62F9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的统一，真正地成长与成熟起来。如果缺少这些层面的认识，其自我认识就是有缺陷的，对大学生的成长也是不利的。比如有的人只知道学习与生活，却不知生命。而有的人只关注生命，却不知学习与处世，即是如此。</w:t>
            </w:r>
          </w:p>
          <w:p w14:paraId="479C880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面对当前人与人关系的危机以及人与自身的分离，很多人陷入了迷失和困惑。难怪在尼采喊出了“上帝死了”之后，一方面突出了人的地位和作用，另一方面却造成了人的物欲的过度膨胀，人的物化和异化逐渐吞噬了人性，人性的沦落使人完全迷失了自我。</w:t>
            </w:r>
          </w:p>
          <w:p w14:paraId="579E2F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大学教育对于人性的修复与唤醒无疑具有最直接的功能。大学生生命教育更是从人的灵魂深处使人认识到生命的本真与真谛，启发大学生对生命的感悟与认识，从而达到与生命的和谐相处与共生。</w:t>
            </w:r>
          </w:p>
          <w:p w14:paraId="74A9B56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（二）生命与自然</w:t>
            </w:r>
          </w:p>
          <w:p w14:paraId="695284D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在东方哲学中，流传较广、比较受推崇的观点是天人合一的观点。即人与自然的统一关系，认为人是自然的产物，是自然的一部分，是自然界最高级的物类；又肯定人与自然是有区别的，但不是敌对的关系，而是相互依存的关系。</w:t>
            </w:r>
          </w:p>
          <w:p w14:paraId="2954FA9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1. 人是自然的产物</w:t>
            </w:r>
          </w:p>
          <w:p w14:paraId="1B47957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自然，人生于斯，长于斯，消失于斯，人本不可离其生存的物质独处于精神之中。人远离了真实的自然，就像树离开了土地，找不到生命的源泉，找不到灵魂的根系，怎能不枯萎，怎能不无聊空虚。</w:t>
            </w:r>
          </w:p>
          <w:p w14:paraId="23926C4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的自然肉体本身就是自然界的一部分。一个人要活着，就必须到自身以外的自然界去寻找吃、穿、住等方面的生活必需品。马克思说：“人作为自然存在物，而且作为有生命的自然存在物，一方面具有自然力、生命力，是能动的自然存在物：这些力量作为天赋和才能，作为欲望存在于人身上；另一方面人作为自然的、肉体的、感性的、对象性的存在物，和动植物一样，是受动的、受制约的和受限制的存在物。也就是说，他的欲望的对象是作为不依赖于他的对象而存在于主观之外的。”我们不应当只想到怎样去征服自然、利用自然，这样最终的结果只能是破坏自然，人类生存的大环境受到破坏。当前，人对物的依赖性取代了人对人的依赖性。这种破坏，肯定会遭到大自然的“报复”，人应该与大自然和谐相处。</w:t>
            </w:r>
          </w:p>
          <w:p w14:paraId="403FD21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EB4691"/>
                <w:sz w:val="21"/>
                <w:szCs w:val="22"/>
                <w:lang w:val="en-US" w:eastAsia="zh-CN" w:bidi="ar-SA"/>
              </w:rPr>
              <w:t>2. 人的生命是一个自然过程，我们应该热爱自然，只有这样我们才能得到良好的生存环境</w:t>
            </w:r>
          </w:p>
          <w:p w14:paraId="207B45E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一个人从出生到死亡是一个完整的人生历程。生死是自然规律，既然生命是一个过程，其既有生便必有死，这是自然生命不可抗拒的规律。因此，个体生命必须关注人生历程，体悟生命的有限性，从而珍惜生命。古人曾说：“莫等闲，白了少年头。”</w:t>
            </w:r>
          </w:p>
          <w:p w14:paraId="4A98B8B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从单个生命来说，生命是有限的，随着时间的流逝，一个人的生命也逐渐缩短。死亡是一个人生命的最终归宿。因此，生命中的每分每秒都非常珍贵，我们应当珍惜。大学生自伤、伤人事件的发生，其直接的原因之一就是他们不珍惜生命的珍贵，视自己的生命如儿戏。一个人从呱呱坠地到步入大学校园，他的父母付出了太多的心血，而社会、国家也投入了很多的物力财力，对于每一个人来说最宝贵的就是生命。</w:t>
            </w:r>
          </w:p>
          <w:p w14:paraId="095FED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生命是有限的、珍贵的、脆弱的。人的自然生命在人类历史长河中只是短暂一瞬，生命存在的时间有限。因而，须更加珍惜它的存在。对于任何生物体来说，生命具有唯一性、不可逆转性，失去了就无法挽回，失去了就无法再有。生命的得与失往往只在一瞬间，无论对自己和他人。生命其实是非常容易受伤害、非常脆弱的。</w:t>
            </w:r>
          </w:p>
          <w:p w14:paraId="31794CA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大学生应该充满青春的生机、朝气蓬勃地投入到学习生活中去，每个人都有各自的人生轨迹，人生需要自己书写，生命的过程具有不可替代性；同时，生命是自然生命和精神生命的有机结合，自然生命是人生命存在的物质载体，是最基本的生命尺度，是人生最宝贵的东西，只有生命存在才会有人的其他价值的创造、实现和评估。生命是人类创造和实现一切价值前提和先决条件。没有生命的存在，就没有社会历史的生产、发展及所有的人类活动。</w:t>
            </w:r>
          </w:p>
          <w:p w14:paraId="5318BBA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（三）生命与社会</w:t>
            </w:r>
          </w:p>
          <w:p w14:paraId="776570C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马克思说：“人的本质并不是单个人所具有的抽象物，在其现实性上，它是一切社会关系的总和。”人是社会中的人，人与社会分不开，没有社会就没有人，一个人如果离开了社会就不成其为人。至今发现的狼孩、狗孩都充分表明：虽有人的遗传特征，但脱离了人类社会，就不可能成为人。人只有生活在人类社会中，参与社会生活，其才能天赋才会得到应有发展，才能成长为人。因此，人与社会是一个统一的整体，人是社会的人，社会是人的社会。</w:t>
            </w:r>
          </w:p>
          <w:p w14:paraId="623C070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是具有社会性的动物。在人类社会高度发达的今天，人与人通过社会关系构成一个整体。任何人都是社会的一员，不存在孤立的个人，人从出生开始就处在特定的人群、团体和社会关系中，是不以人的意志为转移的。同时人通过在社会中传递各种信息、发现自己才能，寻找实现自我价值的途径。</w:t>
            </w:r>
          </w:p>
          <w:p w14:paraId="4F6E6C5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人总是处于“社会关系”之中，并承担一定的社会角色。人的社会属性主要包含：其一，人是社会的产物；其二，人的生产活动具有社会性，人的生活具有社会性。</w:t>
            </w:r>
          </w:p>
          <w:p w14:paraId="6B15D2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（四）生命与自由</w:t>
            </w:r>
          </w:p>
          <w:p w14:paraId="344CB91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当个体生命逐渐成熟之时，自由便成为人们向往和追逐的目标。人人都想最大限度地按照自己的主观决断，不受任何约束地生存与发展自己。自由，可以说是生命的实质所在，人类努力地发展和完善一切，也无非是希望在强大的自然的必然王国中，赢得更多更广阔的自由空间。相应地，个体生命努力的结果，终其一生也无非是想尽可能地拓展在自然、在社会中的生存领域，使自己的生命自由度更宽泛、更广大一些。因此，没有人不在人生中思考自由。实际上，人类也正是在不断地思考自由、争取自由的生命实践中发展和日渐完善起来的。换言之，人类的每一次进步都是趋向自由的，个体生命的实践活动便是导向自由的有效途径。</w:t>
            </w:r>
          </w:p>
          <w:p w14:paraId="02A8000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1. 对生命的绝对追求</w:t>
            </w:r>
          </w:p>
          <w:p w14:paraId="7695F3B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自从有了人类以来，人们就在自觉不自觉地追求一种自由的生命。可以这样说，人类以追求自由作为自己生命的起点，又以实现自由作为自己生命的终点。追逐自由是每一个人的生命本能属性之一。无论人以什么样的生命形式存在，人总想无忧无虑地生存和发展自己的生命，自由确实是人所固有的愿望，没有一个人反对自由，人总想按照自己的意愿自行其是。</w:t>
            </w:r>
          </w:p>
          <w:p w14:paraId="77E7715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从纯粹抽象的层面来看，作为整体的人类，总想摆脱自然界的限制，而无限地发展和延伸人类的生命领域，期望着自由自在地驾驭自然界，使人类的生命在自然界中没有任何威胁、恐吓与灾难。人想做什么，就能做什么，就能做到什么。同时，作为个体的人，不仅期望着不受自然界的制约，而且还企图不受社会和他人的束缚。并希望在肉体与精神上享有极大的自由度，也总想毫无顾忌地发展自己的生命。</w:t>
            </w:r>
          </w:p>
          <w:p w14:paraId="47CD179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追求自由作为人的本能之一是应该予以确定的。自由应该是人类的生存权利，无论是理论与实践，人都不可能抛弃自由。一个人抛弃了自由，便贬低了自己的存在。正如卢梭所说：“放弃自己的自由，就是放弃自己做人的资格，就是放弃人类的权利，甚至就是放弃自己的义务。对于一个放弃自由的人，是无法加以任何补偿的。这样一种弃权是不合人性的，而且取消了自己意志的一切自由，也就是取消了自己行为的一切道德性。”</w:t>
            </w:r>
          </w:p>
          <w:p w14:paraId="56C2BD6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2. 自由是相对的</w:t>
            </w:r>
          </w:p>
          <w:p w14:paraId="1BE8AA4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总想在其生命的实践中实现自己的自由本能。在理论上，自由具有绝对的肯定性。一方面我们不能否认自由的客观存在性；另一方面，我们同样不能否认人追逐自由的权利。但是，在生命的发展过程中，即在人生的实践领域，人生自由的实际体现却是有条件的、相对的。也就是说，从实践上看，人的自由只是一个相对的范畴，世界上从来没有、也不会有超然的个人自由。在这一点上，卢梭是明智的，他说：“人是生而自由的，但却无处不在枷锁之中。自认是其他一切的主人的人，反而比其他一切更是奴隶。”自由，没有绝对的实践形式。自由只是相对的存在状态。在人类历史发展的任何一个时期，在生命实践的任何活动中，人总是处在一定的社会关系中的现实的人。这样的人不是抽象的，而是具体的，不是超然的，而是实在的；不是超越于一切事物之上的，而是融汇在一定的国家、民族、阶级之中的。因此，这样的人不可能不受到某种特定的社会经济、政治、法律、道德、宗教、哲学、文化、习俗等关系的制约。所以，人的思想、信念、观念中，乃至于在其生命存在的实践形式和实践途径、方法、手段，以及预期目的上，都不同程度地带有特定社会关系的烙印，这是无法否认的生命事实。</w:t>
            </w:r>
          </w:p>
          <w:p w14:paraId="2F8315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Cs w:val="24"/>
              </w:rPr>
            </w:pPr>
            <w:r>
              <w:rPr>
                <w:rFonts w:hint="eastAsia" w:ascii="Times New Roman" w:hAnsi="Times New Roman" w:cs="Times New Roman"/>
                <w:color w:val="auto"/>
                <w:sz w:val="21"/>
                <w:szCs w:val="22"/>
                <w:lang w:val="en-US" w:eastAsia="zh-CN" w:bidi="ar-SA"/>
              </w:rPr>
              <w:t>人生就是这样充满着矛盾，一方面生命总希望无拘无束地发展，另一方面生命又只能在限制中去寻找自由。马克思曾说过：“个人是社会的存在物。”因此，人作为对象性的，感性的存在物，是个受动的存在物。人类发展史证明个人一开始便是他人的产物、受社会的制约。一个人的发展总是取决于直接和间接地同自己发生交往关系的其他一切人的发展。并且，彼此发生关系的个人的世世代代是相互联系的。后代的肉体的存在是由他们前代决定的，后代继承着前代积累起来的生产力和交往形式。作为个体的人，无论怎样总是与他人、社会相联系，并受他人、社会所制约。因此。一个人在自己特定的生命发展阶段中，无论怎样，自由自在地发展都不能脱离他所沿着的那条历史轨迹，以及他所赖以生存的社会现实状况。应该说，人生的自由一开始就是受限定和受制约的。</w:t>
            </w:r>
          </w:p>
          <w:p w14:paraId="1974BCD7">
            <w:pPr>
              <w:spacing w:line="360" w:lineRule="auto"/>
              <w:rPr>
                <w:rFonts w:hint="eastAsia" w:ascii="Times New Roman" w:hAnsi="Times New Roman" w:cs="Times New Roman"/>
                <w:b/>
                <w:sz w:val="21"/>
                <w:szCs w:val="24"/>
                <w:lang w:val="en-US" w:eastAsia="zh-CN" w:bidi="ar-SA"/>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w:t>
            </w:r>
          </w:p>
        </w:tc>
        <w:tc>
          <w:tcPr>
            <w:tcW w:w="1617" w:type="dxa"/>
            <w:tcBorders>
              <w:top w:val="dashSmallGap" w:color="E54C5E" w:themeColor="accent6" w:sz="4" w:space="0"/>
              <w:left w:val="dashSmallGap" w:color="E54C5E" w:themeColor="accent6" w:sz="4" w:space="0"/>
              <w:bottom w:val="dashSmallGap" w:color="E54C5E" w:themeColor="accent6" w:sz="4" w:space="0"/>
            </w:tcBorders>
            <w:shd w:val="clear" w:color="auto" w:fill="auto"/>
            <w:vAlign w:val="center"/>
          </w:tcPr>
          <w:p w14:paraId="58794378">
            <w:pPr>
              <w:spacing w:line="360" w:lineRule="auto"/>
              <w:jc w:val="both"/>
              <w:rPr>
                <w:rFonts w:ascii="Times New Roman" w:hAnsi="Times New Roman"/>
                <w:b/>
                <w:szCs w:val="24"/>
              </w:rPr>
            </w:pPr>
            <w:r>
              <w:rPr>
                <w:rFonts w:hint="eastAsia" w:ascii="Times New Roman Bold" w:hAnsi="Times New Roman Bold"/>
                <w:b w:val="0"/>
                <w:bCs/>
                <w:spacing w:val="6"/>
                <w:sz w:val="21"/>
                <w:szCs w:val="24"/>
                <w:lang w:eastAsia="zh-CN"/>
              </w:rPr>
              <w:t>讲述生命的意义</w:t>
            </w:r>
            <w:r>
              <w:rPr>
                <w:rFonts w:hint="eastAsia" w:ascii="Times New Roman Bold" w:hAnsi="Times New Roman Bold"/>
                <w:b w:val="0"/>
                <w:bCs/>
                <w:spacing w:val="6"/>
                <w:sz w:val="21"/>
                <w:szCs w:val="24"/>
              </w:rPr>
              <w:t>，组织学生讨论</w:t>
            </w:r>
            <w:r>
              <w:rPr>
                <w:rFonts w:hint="eastAsia" w:ascii="Times New Roman Bold" w:hAnsi="Times New Roman Bold"/>
                <w:b w:val="0"/>
                <w:bCs/>
                <w:spacing w:val="6"/>
                <w:sz w:val="21"/>
                <w:szCs w:val="24"/>
                <w:lang w:eastAsia="zh-CN"/>
              </w:rPr>
              <w:t>生命含义</w:t>
            </w:r>
            <w:r>
              <w:rPr>
                <w:rFonts w:hint="eastAsia" w:ascii="Times New Roman Bold" w:hAnsi="Times New Roman Bold"/>
                <w:b w:val="0"/>
                <w:bCs/>
                <w:spacing w:val="6"/>
                <w:sz w:val="21"/>
                <w:szCs w:val="24"/>
              </w:rPr>
              <w:t>，了解</w:t>
            </w:r>
            <w:r>
              <w:rPr>
                <w:rFonts w:hint="eastAsia" w:ascii="Times New Roman Bold" w:hAnsi="Times New Roman Bold"/>
                <w:b w:val="0"/>
                <w:bCs/>
                <w:spacing w:val="6"/>
                <w:sz w:val="21"/>
                <w:szCs w:val="24"/>
                <w:lang w:eastAsia="zh-CN"/>
              </w:rPr>
              <w:t>心理学</w:t>
            </w:r>
            <w:r>
              <w:rPr>
                <w:rFonts w:hint="eastAsia" w:ascii="Times New Roman Bold" w:hAnsi="Times New Roman Bold"/>
                <w:b w:val="0"/>
                <w:bCs/>
                <w:spacing w:val="6"/>
                <w:sz w:val="21"/>
                <w:szCs w:val="24"/>
              </w:rPr>
              <w:t>，进一步增强学生对</w:t>
            </w:r>
            <w:r>
              <w:rPr>
                <w:rFonts w:hint="eastAsia" w:ascii="Times New Roman Bold" w:hAnsi="Times New Roman Bold"/>
                <w:b w:val="0"/>
                <w:bCs/>
                <w:spacing w:val="6"/>
                <w:sz w:val="21"/>
                <w:szCs w:val="24"/>
                <w:lang w:eastAsia="zh-CN"/>
              </w:rPr>
              <w:t>心理学的认知</w:t>
            </w:r>
            <w:r>
              <w:rPr>
                <w:rFonts w:hint="eastAsia" w:ascii="Times New Roman Bold" w:hAnsi="Times New Roman Bold"/>
                <w:b w:val="0"/>
                <w:bCs/>
                <w:spacing w:val="6"/>
                <w:sz w:val="21"/>
                <w:szCs w:val="24"/>
              </w:rPr>
              <w:t>。</w:t>
            </w:r>
          </w:p>
        </w:tc>
      </w:tr>
      <w:tr w14:paraId="37E74533">
        <w:trPr>
          <w:trHeight w:val="567" w:hRule="atLeast"/>
          <w:jc w:val="center"/>
        </w:trPr>
        <w:tc>
          <w:tcPr>
            <w:tcW w:w="1538" w:type="dxa"/>
            <w:tcBorders>
              <w:top w:val="dashSmallGap" w:color="E54C5E" w:themeColor="accent6" w:sz="4" w:space="0"/>
              <w:bottom w:val="dashSmallGap" w:color="4874CB" w:themeColor="accent1" w:sz="4" w:space="0"/>
              <w:right w:val="dashSmallGap" w:color="F4B382" w:themeColor="accent2" w:themeTint="99" w:sz="4" w:space="0"/>
            </w:tcBorders>
            <w:shd w:val="clear" w:color="auto" w:fill="FBE6D6" w:themeFill="accent2" w:themeFillTint="32"/>
            <w:vAlign w:val="center"/>
          </w:tcPr>
          <w:p w14:paraId="74CE112B">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继续探索</w:t>
            </w:r>
          </w:p>
          <w:p w14:paraId="745A2807">
            <w:pPr>
              <w:spacing w:line="360" w:lineRule="auto"/>
              <w:jc w:val="center"/>
              <w:rPr>
                <w:rFonts w:ascii="Times New Roman" w:hAnsi="Times New Roman"/>
              </w:rPr>
            </w:pPr>
            <w:r>
              <w:rPr>
                <w:rFonts w:ascii="Times New Roman" w:hAnsi="Times New Roman"/>
                <w:color w:val="843F0B" w:themeColor="accent2" w:themeShade="80"/>
                <w:szCs w:val="24"/>
              </w:rPr>
              <w:t>（</w:t>
            </w:r>
            <w:r>
              <w:rPr>
                <w:rFonts w:hint="eastAsia" w:ascii="Times New Roman" w:hAnsi="Times New Roman"/>
                <w:color w:val="843F0B" w:themeColor="accent2" w:themeShade="80"/>
                <w:szCs w:val="24"/>
                <w:lang w:val="en-US" w:eastAsia="zh-CN"/>
              </w:rPr>
              <w:t>40</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ashSmallGap" w:color="E54C5E" w:themeColor="accent6" w:sz="4" w:space="0"/>
              <w:left w:val="dashSmallGap" w:color="F4B382" w:themeColor="accent2" w:themeTint="99" w:sz="4" w:space="0"/>
              <w:bottom w:val="dashSmallGap" w:color="4874CB" w:themeColor="accent1" w:sz="4" w:space="0"/>
              <w:right w:val="dashSmallGap" w:color="F4B382" w:themeColor="accent2" w:themeTint="99" w:sz="4" w:space="0"/>
            </w:tcBorders>
            <w:vAlign w:val="center"/>
          </w:tcPr>
          <w:p w14:paraId="3D71E32C">
            <w:pPr>
              <w:widowControl/>
              <w:spacing w:line="360" w:lineRule="auto"/>
              <w:rPr>
                <w:rFonts w:hint="eastAsia" w:ascii="Times New Roman" w:hAnsi="Times New Roman" w:eastAsia="宋体"/>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lang w:val="en-US" w:eastAsia="zh-CN"/>
              </w:rPr>
              <w:t>讲解大学生心理危机与危机干预</w:t>
            </w:r>
          </w:p>
          <w:p w14:paraId="3C284CBE">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一、危机与心理危机</w:t>
            </w:r>
          </w:p>
          <w:p w14:paraId="4DEAFD71">
            <w:pPr>
              <w:widowControl/>
              <w:spacing w:line="360" w:lineRule="auto"/>
              <w:ind w:left="-19" w:leftChars="-9" w:firstLine="439" w:firstLineChars="209"/>
              <w:rPr>
                <w:rFonts w:hint="eastAsia" w:ascii="Times New Roman" w:hAnsi="Times New Roman"/>
              </w:rPr>
            </w:pPr>
            <w:r>
              <w:rPr>
                <w:rFonts w:hint="eastAsia" w:ascii="Times New Roman" w:hAnsi="Times New Roman"/>
                <w:b/>
                <w:bCs/>
              </w:rPr>
              <w:t>（一）危机的概念与危机反应的阶段</w:t>
            </w:r>
          </w:p>
          <w:p w14:paraId="7F73F4E7">
            <w:pPr>
              <w:widowControl/>
              <w:spacing w:line="360" w:lineRule="auto"/>
              <w:ind w:left="-19" w:leftChars="-9" w:firstLine="438" w:firstLineChars="209"/>
              <w:rPr>
                <w:rFonts w:hint="eastAsia" w:ascii="Times New Roman" w:hAnsi="Times New Roman"/>
              </w:rPr>
            </w:pPr>
            <w:r>
              <w:rPr>
                <w:rFonts w:hint="eastAsia" w:ascii="Times New Roman" w:hAnsi="Times New Roman"/>
              </w:rPr>
              <w:t>危机这一概念被广泛应用在经济、政治、社会等很多领域，人们常说的经济危机、金融危机、政治危机、能源危机等。美国著名的《韦氏大词典》将“危机”定义为“决定性或至关紧要的时间阶段或事件”。我国《辞海》则认为“危机是一种紧急状态”。《现代汉语词典》的解释是，危机是指“危险的根由”，“严重困难的关头”。</w:t>
            </w:r>
          </w:p>
          <w:p w14:paraId="07D9A961">
            <w:pPr>
              <w:widowControl/>
              <w:spacing w:line="360" w:lineRule="auto"/>
              <w:ind w:left="-19" w:leftChars="-9" w:firstLine="438" w:firstLineChars="209"/>
              <w:rPr>
                <w:rFonts w:hint="eastAsia" w:ascii="Times New Roman" w:hAnsi="Times New Roman"/>
              </w:rPr>
            </w:pPr>
            <w:r>
              <w:rPr>
                <w:rFonts w:hint="eastAsia" w:ascii="Times New Roman" w:hAnsi="Times New Roman"/>
              </w:rPr>
              <w:t>危机是一个动态发展的过程，每个发展阶段各有不同特点，当事人会有不同的心理和行为表现。人们对危机的反应通常经历四个不同的阶段：</w:t>
            </w:r>
          </w:p>
          <w:p w14:paraId="33BDB4E1">
            <w:pPr>
              <w:widowControl/>
              <w:spacing w:line="360" w:lineRule="auto"/>
              <w:ind w:left="-19" w:leftChars="-9" w:firstLine="438" w:firstLineChars="209"/>
              <w:rPr>
                <w:rFonts w:hint="eastAsia" w:ascii="Times New Roman" w:hAnsi="Times New Roman"/>
              </w:rPr>
            </w:pPr>
            <w:r>
              <w:rPr>
                <w:rFonts w:hint="eastAsia" w:ascii="Times New Roman" w:hAnsi="Times New Roman"/>
              </w:rPr>
              <w:t>冲击期，发生在危机事件发生后不久或当时，感到震惊、恐慌、不知所措。</w:t>
            </w:r>
          </w:p>
          <w:p w14:paraId="484C8F43">
            <w:pPr>
              <w:widowControl/>
              <w:spacing w:line="360" w:lineRule="auto"/>
              <w:ind w:left="-19" w:leftChars="-9" w:firstLine="438" w:firstLineChars="209"/>
              <w:rPr>
                <w:rFonts w:hint="eastAsia" w:ascii="Times New Roman" w:hAnsi="Times New Roman"/>
              </w:rPr>
            </w:pPr>
            <w:r>
              <w:rPr>
                <w:rFonts w:hint="eastAsia" w:ascii="Times New Roman" w:hAnsi="Times New Roman"/>
              </w:rPr>
              <w:t>防御期，表现为想恢复心理上的平衡，控制焦虑和情绪紊乱，恢复受到损害的认识功能。</w:t>
            </w:r>
          </w:p>
          <w:p w14:paraId="741E56D9">
            <w:pPr>
              <w:widowControl/>
              <w:spacing w:line="360" w:lineRule="auto"/>
              <w:ind w:left="-19" w:leftChars="-9" w:firstLine="438" w:firstLineChars="209"/>
              <w:rPr>
                <w:rFonts w:hint="eastAsia" w:ascii="Times New Roman" w:hAnsi="Times New Roman"/>
              </w:rPr>
            </w:pPr>
            <w:r>
              <w:rPr>
                <w:rFonts w:hint="eastAsia" w:ascii="Times New Roman" w:hAnsi="Times New Roman"/>
              </w:rPr>
              <w:t>解决期，积极采取各种方法接受现实，寻求各种资源努力设法解决问题。焦虑减轻，自信增加，社会功能恢复。</w:t>
            </w:r>
          </w:p>
          <w:p w14:paraId="12DFE2CE">
            <w:pPr>
              <w:widowControl/>
              <w:spacing w:line="360" w:lineRule="auto"/>
              <w:ind w:left="-19" w:leftChars="-9" w:firstLine="438" w:firstLineChars="209"/>
              <w:rPr>
                <w:rFonts w:hint="eastAsia" w:ascii="Times New Roman" w:hAnsi="Times New Roman"/>
              </w:rPr>
            </w:pPr>
            <w:r>
              <w:rPr>
                <w:rFonts w:hint="eastAsia" w:ascii="Times New Roman" w:hAnsi="Times New Roman"/>
              </w:rPr>
              <w:t>成长期，经历了危机变得更成熟，获得应对危机的技巧。但也有人消极应对而出现种种心理不健康的行为。</w:t>
            </w:r>
          </w:p>
          <w:p w14:paraId="79ED70D7">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（二）心理危机</w:t>
            </w:r>
          </w:p>
          <w:p w14:paraId="4ABBE034">
            <w:pPr>
              <w:widowControl/>
              <w:spacing w:line="360" w:lineRule="auto"/>
              <w:ind w:left="-19" w:leftChars="-9" w:firstLine="438" w:firstLineChars="209"/>
              <w:rPr>
                <w:rFonts w:hint="eastAsia" w:ascii="Times New Roman" w:hAnsi="Times New Roman"/>
              </w:rPr>
            </w:pPr>
            <w:r>
              <w:rPr>
                <w:rFonts w:hint="eastAsia" w:ascii="Times New Roman" w:hAnsi="Times New Roman"/>
              </w:rPr>
              <w:t>心理危机，可以指心理状态的严重失调，心理矛盾激烈冲突难以解决，也可以指精神面临崩溃或精神失常，还可以指发生心理障碍。当一个人出现心理危机时，当事人可能及时察觉，也有可能“不知不觉”。一个自以为遵守某种习惯了的行为模式的人，也有可能潜藏着心理危机。染有严重不良瘾癖的人，常常潜伏着心理危机，当去戒除瘾癖时，心理危机便会暴露无遗。</w:t>
            </w:r>
          </w:p>
          <w:p w14:paraId="1C559F90">
            <w:pPr>
              <w:widowControl/>
              <w:spacing w:line="360" w:lineRule="auto"/>
              <w:ind w:left="-19" w:leftChars="-9" w:firstLine="438" w:firstLineChars="209"/>
              <w:rPr>
                <w:rFonts w:hint="eastAsia" w:ascii="Times New Roman" w:hAnsi="Times New Roman"/>
              </w:rPr>
            </w:pPr>
            <w:r>
              <w:rPr>
                <w:rFonts w:hint="eastAsia" w:ascii="Times New Roman" w:hAnsi="Times New Roman"/>
              </w:rPr>
              <w:t>心理危机标志着一个人正在经历生命中的剧变和动荡，它会暂时地干扰或破坏一个人习以为常的生活模式。</w:t>
            </w:r>
          </w:p>
          <w:p w14:paraId="0EE5CF77">
            <w:pPr>
              <w:widowControl/>
              <w:spacing w:line="360" w:lineRule="auto"/>
              <w:ind w:left="-19" w:leftChars="-9" w:firstLine="438" w:firstLineChars="209"/>
              <w:rPr>
                <w:rFonts w:hint="eastAsia" w:ascii="Times New Roman" w:hAnsi="Times New Roman"/>
              </w:rPr>
            </w:pPr>
            <w:r>
              <w:rPr>
                <w:rFonts w:hint="eastAsia" w:ascii="Times New Roman" w:hAnsi="Times New Roman"/>
              </w:rPr>
              <w:t>心理危机的产生包含两个要素，一是诱发危机的某个生活事件；二是个体对自己应对该事件的能力的评估。一个人会不会产生心理危机，不仅取决于他正在经历或即将经历的基本供给的改变，重要的是取决于他对自己应对困难情境能力的评估。如果个体认为有足够的能力去应对，心理危机就不会出现，反之，个体自己意识到自己所遇到的困难情境已经远远超过了自己的应对能力，即认为自己的应对能力不足以应对所遇到的困难情境时，平衡就会被打破，正常的生活受到干扰，内心的紧张、恐惧、害怕和悲伤等情绪不断积蓄，甚至出现思维和行为紊乱，心理危机就可能出现。</w:t>
            </w:r>
          </w:p>
          <w:p w14:paraId="7A3564DB">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二、大学生心理危机</w:t>
            </w:r>
          </w:p>
          <w:p w14:paraId="40870342">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（一）大学生危机的种类</w:t>
            </w:r>
          </w:p>
          <w:p w14:paraId="1033405F">
            <w:pPr>
              <w:widowControl/>
              <w:spacing w:line="360" w:lineRule="auto"/>
              <w:ind w:left="-19" w:leftChars="-9" w:firstLine="438" w:firstLineChars="209"/>
              <w:rPr>
                <w:rFonts w:hint="eastAsia" w:ascii="Times New Roman" w:hAnsi="Times New Roman"/>
              </w:rPr>
            </w:pPr>
            <w:r>
              <w:rPr>
                <w:rFonts w:hint="eastAsia" w:ascii="Times New Roman" w:hAnsi="Times New Roman"/>
              </w:rPr>
              <w:t>心理学上对大学生心理危机的分类有很多，一般将大学生心理危机归类为以下几个方面：</w:t>
            </w:r>
          </w:p>
          <w:p w14:paraId="45C52B1B">
            <w:pPr>
              <w:widowControl/>
              <w:spacing w:line="360" w:lineRule="auto"/>
              <w:ind w:left="-19" w:leftChars="-9" w:firstLine="438" w:firstLineChars="209"/>
              <w:rPr>
                <w:rFonts w:hint="eastAsia" w:ascii="Times New Roman" w:hAnsi="Times New Roman"/>
              </w:rPr>
            </w:pPr>
            <w:r>
              <w:rPr>
                <w:rFonts w:hint="eastAsia" w:ascii="Times New Roman" w:hAnsi="Times New Roman"/>
              </w:rPr>
              <w:t>1. 发展性危机是个人在正常的成长和发展过程中，急剧的变化或转变所产生的异常反应。</w:t>
            </w:r>
          </w:p>
          <w:p w14:paraId="123198BD">
            <w:pPr>
              <w:widowControl/>
              <w:spacing w:line="360" w:lineRule="auto"/>
              <w:ind w:left="-19" w:leftChars="-9" w:firstLine="438" w:firstLineChars="209"/>
              <w:rPr>
                <w:rFonts w:hint="eastAsia" w:ascii="Times New Roman" w:hAnsi="Times New Roman"/>
              </w:rPr>
            </w:pPr>
            <w:r>
              <w:rPr>
                <w:rFonts w:hint="eastAsia" w:ascii="Times New Roman" w:hAnsi="Times New Roman"/>
              </w:rPr>
              <w:t>2. 境遇性危机是个人无法控制或预测的突发或超常事件，例如交通事故、自然灾害等。</w:t>
            </w:r>
          </w:p>
          <w:p w14:paraId="5DE39EC3">
            <w:pPr>
              <w:widowControl/>
              <w:spacing w:line="360" w:lineRule="auto"/>
              <w:ind w:left="-19" w:leftChars="-9" w:firstLine="438" w:firstLineChars="209"/>
              <w:rPr>
                <w:rFonts w:hint="eastAsia" w:ascii="Times New Roman" w:hAnsi="Times New Roman"/>
              </w:rPr>
            </w:pPr>
            <w:r>
              <w:rPr>
                <w:rFonts w:hint="eastAsia" w:ascii="Times New Roman" w:hAnsi="Times New Roman"/>
              </w:rPr>
              <w:t>3. 存在性危机是一些人生重要而根本问题（人生目的、意义、价值、责任等）的出现导致的个人内心的冲突和焦虑。</w:t>
            </w:r>
          </w:p>
          <w:p w14:paraId="73666388">
            <w:pPr>
              <w:widowControl/>
              <w:spacing w:line="360" w:lineRule="auto"/>
              <w:ind w:left="-19" w:leftChars="-9" w:firstLine="438" w:firstLineChars="209"/>
              <w:rPr>
                <w:rFonts w:hint="eastAsia" w:ascii="Times New Roman" w:hAnsi="Times New Roman"/>
              </w:rPr>
            </w:pPr>
            <w:r>
              <w:rPr>
                <w:rFonts w:hint="eastAsia" w:ascii="Times New Roman" w:hAnsi="Times New Roman"/>
              </w:rPr>
              <w:t>4. 内心危机是指潜意识中固有的某种心理问题的爆发。</w:t>
            </w:r>
          </w:p>
          <w:p w14:paraId="0EB674F5">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（二）大学生心理危机的表现</w:t>
            </w:r>
          </w:p>
          <w:p w14:paraId="732A6E69">
            <w:pPr>
              <w:widowControl/>
              <w:spacing w:line="360" w:lineRule="auto"/>
              <w:ind w:left="-19" w:leftChars="-9" w:firstLine="438" w:firstLineChars="209"/>
              <w:rPr>
                <w:rFonts w:hint="eastAsia" w:ascii="Times New Roman" w:hAnsi="Times New Roman"/>
              </w:rPr>
            </w:pPr>
            <w:r>
              <w:rPr>
                <w:rFonts w:hint="eastAsia" w:ascii="Times New Roman" w:hAnsi="Times New Roman"/>
              </w:rPr>
              <w:t>缺乏自信，自卑，有的甚至悲观、绝望，这主要是生理和心理矛盾带来的危机；或极度的抑郁、孤僻和焦虑，怕与人交往，这主要是人际关系紧张带来的危机；或对社会、对他人、对一切的冷漠、消极、逆反、攻击，严重者一遇到某些想不开的事情，便会采取自杀等逃避手段。如市场经济激烈竞争下的就业压力带来的心理危机，性生理的成熟和性心理的不完善产生的危机等。</w:t>
            </w:r>
          </w:p>
          <w:p w14:paraId="74C522B1">
            <w:pPr>
              <w:widowControl/>
              <w:spacing w:line="360" w:lineRule="auto"/>
              <w:ind w:left="-19" w:leftChars="-9" w:firstLine="438" w:firstLineChars="209"/>
              <w:rPr>
                <w:rFonts w:hint="eastAsia" w:ascii="Times New Roman" w:hAnsi="Times New Roman"/>
              </w:rPr>
            </w:pPr>
            <w:r>
              <w:rPr>
                <w:rFonts w:hint="eastAsia" w:ascii="Times New Roman" w:hAnsi="Times New Roman"/>
              </w:rPr>
              <w:t>我们把大学生心理危机的表现归纳为认知、情感、行为、躯体四个方面。</w:t>
            </w:r>
          </w:p>
          <w:p w14:paraId="3C218087">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认知方面</w:t>
            </w:r>
          </w:p>
          <w:p w14:paraId="129B14BB">
            <w:pPr>
              <w:widowControl/>
              <w:spacing w:line="360" w:lineRule="auto"/>
              <w:ind w:left="-19" w:leftChars="-9" w:firstLine="438" w:firstLineChars="209"/>
              <w:rPr>
                <w:rFonts w:hint="eastAsia" w:ascii="Times New Roman" w:hAnsi="Times New Roman"/>
              </w:rPr>
            </w:pPr>
            <w:r>
              <w:rPr>
                <w:rFonts w:hint="eastAsia" w:ascii="Times New Roman" w:hAnsi="Times New Roman"/>
              </w:rPr>
              <w:t>身心沉浸于悲痛中，导致记忆和知觉改变，难以区分事物的异同，体验到的事物间的关系含糊不清，作决定和解决问题的能力受影响，有时害怕自己发狂。一旦危机解决可迅速恢复知觉。</w:t>
            </w:r>
          </w:p>
          <w:p w14:paraId="474D72DA">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情感方面</w:t>
            </w:r>
          </w:p>
          <w:p w14:paraId="1A7CE9F0">
            <w:pPr>
              <w:widowControl/>
              <w:spacing w:line="360" w:lineRule="auto"/>
              <w:ind w:left="-19" w:leftChars="-9" w:firstLine="438" w:firstLineChars="209"/>
              <w:rPr>
                <w:rFonts w:hint="eastAsia" w:ascii="Times New Roman" w:hAnsi="Times New Roman"/>
              </w:rPr>
            </w:pPr>
            <w:r>
              <w:rPr>
                <w:rFonts w:hint="eastAsia" w:ascii="Times New Roman" w:hAnsi="Times New Roman"/>
              </w:rPr>
              <w:t>当事人表现为高度的焦虑、紧张、丧失感、空虚感，且可伴随恐惧、愤怒、罪恶、烦恼、羞惭等。</w:t>
            </w:r>
          </w:p>
          <w:p w14:paraId="4957BE56">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行为方面</w:t>
            </w:r>
          </w:p>
          <w:p w14:paraId="046627F3">
            <w:pPr>
              <w:widowControl/>
              <w:spacing w:line="360" w:lineRule="auto"/>
              <w:ind w:left="-19" w:leftChars="-9" w:firstLine="438" w:firstLineChars="209"/>
              <w:rPr>
                <w:rFonts w:hint="eastAsia" w:ascii="Times New Roman" w:hAnsi="Times New Roman"/>
              </w:rPr>
            </w:pPr>
            <w:r>
              <w:rPr>
                <w:rFonts w:hint="eastAsia" w:ascii="Times New Roman" w:hAnsi="Times New Roman"/>
              </w:rPr>
              <w:t>不能专心学习或工作；回避他人或以特殊方式来孤立自己；令人生厌；与社会联系破坏，可能发生对自己或周围的破坏性行为；拒绝别人的帮助，认为接受帮助是软弱无力的表现；行为和思维情感不一致；出现过去没有的非典型行为。</w:t>
            </w:r>
          </w:p>
          <w:p w14:paraId="65E81335">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4. 躯体方面</w:t>
            </w:r>
          </w:p>
          <w:p w14:paraId="6E2B408D">
            <w:pPr>
              <w:widowControl/>
              <w:spacing w:line="360" w:lineRule="auto"/>
              <w:ind w:left="-19" w:leftChars="-9" w:firstLine="438" w:firstLineChars="209"/>
              <w:rPr>
                <w:rFonts w:hint="eastAsia" w:ascii="Times New Roman" w:hAnsi="Times New Roman"/>
              </w:rPr>
            </w:pPr>
            <w:r>
              <w:rPr>
                <w:rFonts w:hint="eastAsia" w:ascii="Times New Roman" w:hAnsi="Times New Roman"/>
              </w:rPr>
              <w:t>有失眠、头晕、食欲不振、胃部不适等症状。当大学生出现两个或两个以上方面的表现，我们认为该学生出现了心理危机。</w:t>
            </w:r>
          </w:p>
          <w:p w14:paraId="1C604814">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（三）大学生心理危机的几种主要诱因</w:t>
            </w:r>
          </w:p>
          <w:p w14:paraId="4EF9EF9F">
            <w:pPr>
              <w:widowControl/>
              <w:spacing w:line="360" w:lineRule="auto"/>
              <w:ind w:left="-19" w:leftChars="-9" w:firstLine="438" w:firstLineChars="209"/>
              <w:rPr>
                <w:rFonts w:hint="eastAsia" w:ascii="Times New Roman" w:hAnsi="Times New Roman"/>
              </w:rPr>
            </w:pPr>
            <w:r>
              <w:rPr>
                <w:rFonts w:hint="eastAsia" w:ascii="Times New Roman" w:hAnsi="Times New Roman"/>
              </w:rPr>
              <w:t>大学生心理危机的形成是很复杂的，它不是某一种原因和某一个心理问题一一对应的结果，其影响的因素是多样的。</w:t>
            </w:r>
          </w:p>
          <w:p w14:paraId="5471DE47">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家庭问题造成的心理创伤</w:t>
            </w:r>
          </w:p>
          <w:p w14:paraId="525088CA">
            <w:pPr>
              <w:widowControl/>
              <w:spacing w:line="360" w:lineRule="auto"/>
              <w:ind w:left="-19" w:leftChars="-9" w:firstLine="438" w:firstLineChars="209"/>
              <w:rPr>
                <w:rFonts w:hint="eastAsia" w:ascii="Times New Roman" w:hAnsi="Times New Roman"/>
              </w:rPr>
            </w:pPr>
            <w:r>
              <w:rPr>
                <w:rFonts w:hint="eastAsia" w:ascii="Times New Roman" w:hAnsi="Times New Roman"/>
              </w:rPr>
              <w:t>家庭问题是学生心理问题的主要根源之一。父母不和或离异，容易导致学生性格的畸形发展和心理创伤。</w:t>
            </w:r>
          </w:p>
          <w:p w14:paraId="7D1208D1">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就业竞争引发的心理危机</w:t>
            </w:r>
          </w:p>
          <w:p w14:paraId="3EE5394F">
            <w:pPr>
              <w:widowControl/>
              <w:spacing w:line="360" w:lineRule="auto"/>
              <w:ind w:left="-19" w:leftChars="-9" w:firstLine="438" w:firstLineChars="209"/>
              <w:rPr>
                <w:rFonts w:hint="eastAsia" w:ascii="Times New Roman" w:hAnsi="Times New Roman"/>
              </w:rPr>
            </w:pPr>
            <w:r>
              <w:rPr>
                <w:rFonts w:hint="eastAsia" w:ascii="Times New Roman" w:hAnsi="Times New Roman"/>
              </w:rPr>
              <w:t>自从我国高校扩招后，大学生的就业竞争和压力空前增大，虽然大学毕业生数量大幅增长，但社会整体就业岗位没有明显增加。</w:t>
            </w:r>
          </w:p>
          <w:p w14:paraId="35FACB2B">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学业压力引发的心理危机</w:t>
            </w:r>
          </w:p>
          <w:p w14:paraId="4B3EE3ED">
            <w:pPr>
              <w:widowControl/>
              <w:spacing w:line="360" w:lineRule="auto"/>
              <w:ind w:left="-19" w:leftChars="-9" w:firstLine="438" w:firstLineChars="209"/>
              <w:rPr>
                <w:rFonts w:hint="eastAsia" w:ascii="Times New Roman" w:hAnsi="Times New Roman"/>
              </w:rPr>
            </w:pPr>
            <w:r>
              <w:rPr>
                <w:rFonts w:hint="eastAsia" w:ascii="Times New Roman" w:hAnsi="Times New Roman"/>
              </w:rPr>
              <w:t>由于就业竞争的压力，导致大学生中的学业压力普遍比较严重，他们既要学习好专业知识，又要学习好英语，还要参加各种证书考试。</w:t>
            </w:r>
          </w:p>
          <w:p w14:paraId="1464A8DA">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4. 由情感引起的心理危机</w:t>
            </w:r>
          </w:p>
          <w:p w14:paraId="6CC25807">
            <w:pPr>
              <w:widowControl/>
              <w:spacing w:line="360" w:lineRule="auto"/>
              <w:ind w:left="-19" w:leftChars="-9" w:firstLine="438" w:firstLineChars="209"/>
              <w:rPr>
                <w:rFonts w:hint="eastAsia" w:ascii="Times New Roman" w:hAnsi="Times New Roman"/>
              </w:rPr>
            </w:pPr>
            <w:r>
              <w:rPr>
                <w:rFonts w:hint="eastAsia" w:ascii="Times New Roman" w:hAnsi="Times New Roman"/>
              </w:rPr>
              <w:t>由于国家对在校大学生恋爱、结婚限制的解禁，当前大学生谈恋爱的现象越来越普遍，但大学生的身心发展还不成熟，由于缺乏经验，无法处理好复杂的情感纠葛和情感与学业的关系，一旦失恋往往引发心理危机。</w:t>
            </w:r>
          </w:p>
          <w:p w14:paraId="402C1A55">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5. 经济因素引起的心理危机</w:t>
            </w:r>
          </w:p>
          <w:p w14:paraId="4B31723E">
            <w:pPr>
              <w:widowControl/>
              <w:spacing w:line="360" w:lineRule="auto"/>
              <w:ind w:left="-19" w:leftChars="-9" w:firstLine="438" w:firstLineChars="209"/>
              <w:rPr>
                <w:rFonts w:hint="eastAsia" w:ascii="Times New Roman" w:hAnsi="Times New Roman"/>
              </w:rPr>
            </w:pPr>
            <w:r>
              <w:rPr>
                <w:rFonts w:hint="eastAsia" w:ascii="Times New Roman" w:hAnsi="Times New Roman"/>
              </w:rPr>
              <w:t>学费成为来自贫困地区学生的一个沉重的经济负担和心理负担，由此出现了贫困生的心理危机问题。学生的自卑和闭锁心理、嫉妒心理，学生间不良的人际关系，都将引发他们对社会的极度不满情绪，仇视同学、仇视社会。</w:t>
            </w:r>
          </w:p>
          <w:p w14:paraId="4916C078">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6. 环境适应</w:t>
            </w:r>
          </w:p>
          <w:p w14:paraId="4D108D97">
            <w:pPr>
              <w:widowControl/>
              <w:spacing w:line="360" w:lineRule="auto"/>
              <w:ind w:left="-19" w:leftChars="-9" w:firstLine="438" w:firstLineChars="209"/>
              <w:rPr>
                <w:rFonts w:hint="eastAsia" w:ascii="Times New Roman" w:hAnsi="Times New Roman"/>
              </w:rPr>
            </w:pPr>
            <w:r>
              <w:rPr>
                <w:rFonts w:hint="eastAsia" w:ascii="Times New Roman" w:hAnsi="Times New Roman"/>
              </w:rPr>
              <w:t>在校大学生年龄在 18~22 岁之间，他们在生理上多已发育成熟，但其心理发展远没有成熟。</w:t>
            </w:r>
          </w:p>
          <w:p w14:paraId="4CE82470">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三、大学生心理危机干预</w:t>
            </w:r>
          </w:p>
          <w:p w14:paraId="3CB534F1">
            <w:pPr>
              <w:widowControl/>
              <w:spacing w:line="360" w:lineRule="auto"/>
              <w:ind w:left="-19" w:leftChars="-9" w:firstLine="438" w:firstLineChars="209"/>
              <w:rPr>
                <w:rFonts w:hint="eastAsia" w:ascii="Times New Roman" w:hAnsi="Times New Roman"/>
              </w:rPr>
            </w:pPr>
            <w:r>
              <w:rPr>
                <w:rFonts w:hint="eastAsia" w:ascii="Times New Roman" w:hAnsi="Times New Roman"/>
              </w:rPr>
              <w:t>心理危机干预是指在心理学指导下对有心理危机的个体或群体的一种短期的帮助行为，其目的是及时对经历个人危机、处于困境或遭受挫折和将发生危险的对象提供支持和帮助，使之恢复心理平衡。它不同于一般的心理咨询和治疗，最突出的特点是及时性、迅速性，其有效的行动是成功的关键。高校应该建立全面的心理危机干预机制，尤其是预防性的危机干预机制，以便把问题消除在萌芽状态。</w:t>
            </w:r>
          </w:p>
          <w:p w14:paraId="426F5FDD">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（一）大学生心理危机干预应遵循的原则</w:t>
            </w:r>
          </w:p>
          <w:p w14:paraId="76DD3F86">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预防与教育原则</w:t>
            </w:r>
          </w:p>
          <w:p w14:paraId="41D0894E">
            <w:pPr>
              <w:widowControl/>
              <w:spacing w:line="360" w:lineRule="auto"/>
              <w:ind w:left="-19" w:leftChars="-9" w:firstLine="438" w:firstLineChars="209"/>
              <w:rPr>
                <w:rFonts w:hint="eastAsia" w:ascii="Times New Roman" w:hAnsi="Times New Roman"/>
              </w:rPr>
            </w:pPr>
            <w:r>
              <w:rPr>
                <w:rFonts w:hint="eastAsia" w:ascii="Times New Roman" w:hAnsi="Times New Roman"/>
              </w:rPr>
              <w:t>有心理危机倾向的学生是有征兆和有规律可循的。高校首先应抓住新生入校时期，对学生进行心理健康教育，筛选出问题学生，早预防早干预。同时，在发挥预防功能中提高大学生的心理健康水平和应付能力以及帮助别人的能力，增加解决危机的资源和力量。</w:t>
            </w:r>
          </w:p>
          <w:p w14:paraId="1F5E8CDB">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及时性原则</w:t>
            </w:r>
          </w:p>
          <w:p w14:paraId="299B5642">
            <w:pPr>
              <w:widowControl/>
              <w:spacing w:line="360" w:lineRule="auto"/>
              <w:ind w:left="-19" w:leftChars="-9" w:firstLine="438" w:firstLineChars="209"/>
              <w:rPr>
                <w:rFonts w:hint="eastAsia" w:ascii="Times New Roman" w:hAnsi="Times New Roman"/>
              </w:rPr>
            </w:pPr>
            <w:r>
              <w:rPr>
                <w:rFonts w:hint="eastAsia" w:ascii="Times New Roman" w:hAnsi="Times New Roman"/>
              </w:rPr>
              <w:t>心理危机的发生本身就是突发性的，所以在心理危机干预中时间最为关键。要做到及时发现、及时上报、及时干预与及时转介，要及时跟踪了解学生的各种思想动态和变化，根据需要，有针对性地提供辅导与帮助。</w:t>
            </w:r>
          </w:p>
          <w:p w14:paraId="337392E3">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价值中立原则</w:t>
            </w:r>
          </w:p>
          <w:p w14:paraId="2BD87107">
            <w:pPr>
              <w:widowControl/>
              <w:spacing w:line="360" w:lineRule="auto"/>
              <w:ind w:left="-19" w:leftChars="-9" w:firstLine="438" w:firstLineChars="209"/>
              <w:rPr>
                <w:rFonts w:hint="eastAsia" w:ascii="Times New Roman" w:hAnsi="Times New Roman"/>
              </w:rPr>
            </w:pPr>
            <w:r>
              <w:rPr>
                <w:rFonts w:hint="eastAsia" w:ascii="Times New Roman" w:hAnsi="Times New Roman"/>
              </w:rPr>
              <w:t>当大学生因学业受挫、恋爱失败、人际冲突等原因导致心理危机时，其原因与个人的人生观、价值观有非常密切的关系。在对大学生进行心理危机干预时，应遵循“价值中立”原则。</w:t>
            </w:r>
          </w:p>
          <w:p w14:paraId="14BF6EAD">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4. 宣泄原则</w:t>
            </w:r>
          </w:p>
          <w:p w14:paraId="2760E471">
            <w:pPr>
              <w:widowControl/>
              <w:spacing w:line="360" w:lineRule="auto"/>
              <w:ind w:left="-19" w:leftChars="-9" w:firstLine="438" w:firstLineChars="209"/>
              <w:rPr>
                <w:rFonts w:hint="eastAsia" w:ascii="Times New Roman" w:hAnsi="Times New Roman"/>
              </w:rPr>
            </w:pPr>
            <w:r>
              <w:rPr>
                <w:rFonts w:hint="eastAsia" w:ascii="Times New Roman" w:hAnsi="Times New Roman"/>
              </w:rPr>
              <w:t>释放是指个体把可能引起心理危机的情绪或其他负向的心理能量及时排遣的过程。对当代大学生而言，尤其要有释放意识，通过心理健康教育，引导学生当出现心理危机时，当事人应及时向其所信任的人倾诉。</w:t>
            </w:r>
          </w:p>
          <w:p w14:paraId="62F5CAB3">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5. 持续性原则</w:t>
            </w:r>
          </w:p>
          <w:p w14:paraId="7D42880F">
            <w:pPr>
              <w:widowControl/>
              <w:spacing w:line="360" w:lineRule="auto"/>
              <w:ind w:left="-19" w:leftChars="-9" w:firstLine="438" w:firstLineChars="209"/>
              <w:rPr>
                <w:rFonts w:hint="eastAsia" w:ascii="Times New Roman" w:hAnsi="Times New Roman"/>
              </w:rPr>
            </w:pPr>
            <w:r>
              <w:rPr>
                <w:rFonts w:hint="eastAsia" w:ascii="Times New Roman" w:hAnsi="Times New Roman"/>
              </w:rPr>
              <w:t>心理危机干预的长期性与反复性。心理危机干预体系一定要避免“一次性”干预，有些心理危机具有一定的潜伏性，再加上如今大学生的心理复杂性与多样性，使得心理危机干预不可能一步到位。要将心理危机转变为帮助其迅速成长的教育契机，适时建立信息跟踪、定期回访制度，从根本上对学生的心理危机进行引导和干预。</w:t>
            </w:r>
          </w:p>
          <w:p w14:paraId="73509900">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（二）大学生心理危机干预的对象</w:t>
            </w:r>
          </w:p>
          <w:p w14:paraId="70D9C784">
            <w:pPr>
              <w:widowControl/>
              <w:spacing w:line="360" w:lineRule="auto"/>
              <w:ind w:left="-19" w:leftChars="-9" w:firstLine="438" w:firstLineChars="209"/>
              <w:rPr>
                <w:rFonts w:hint="eastAsia" w:ascii="Times New Roman" w:hAnsi="Times New Roman"/>
              </w:rPr>
            </w:pPr>
            <w:r>
              <w:rPr>
                <w:rFonts w:hint="eastAsia" w:ascii="Times New Roman" w:hAnsi="Times New Roman"/>
              </w:rPr>
              <w:t>并不是所有的心理问题都构成心理危机，心理危机的干预对象主要是存在心理危机倾向与处于心理危机状态的学生。这些同学一般表现为情绪剧烈波动或认知、躯体、行为等方面有较大改变，且用平常解决问题的方法无法应对。</w:t>
            </w:r>
          </w:p>
          <w:p w14:paraId="77AB487A">
            <w:pPr>
              <w:widowControl/>
              <w:spacing w:line="360" w:lineRule="auto"/>
              <w:ind w:left="-19" w:leftChars="-9" w:firstLine="438" w:firstLineChars="209"/>
              <w:rPr>
                <w:rFonts w:hint="eastAsia" w:ascii="Times New Roman" w:hAnsi="Times New Roman"/>
              </w:rPr>
            </w:pPr>
            <w:r>
              <w:rPr>
                <w:rFonts w:hint="eastAsia" w:ascii="Times New Roman" w:hAnsi="Times New Roman"/>
              </w:rPr>
              <w:t>存在下列情况之一的同学，往往是容易出现危机的高危人群，同学们需要高度关注，并及时采取相应措施：</w:t>
            </w:r>
          </w:p>
          <w:p w14:paraId="15009990">
            <w:pPr>
              <w:widowControl/>
              <w:spacing w:line="360" w:lineRule="auto"/>
              <w:ind w:left="-19" w:leftChars="-9" w:firstLine="438" w:firstLineChars="209"/>
              <w:rPr>
                <w:rFonts w:hint="eastAsia" w:ascii="Times New Roman" w:hAnsi="Times New Roman"/>
              </w:rPr>
            </w:pPr>
            <w:r>
              <w:rPr>
                <w:rFonts w:hint="eastAsia" w:ascii="Times New Roman" w:hAnsi="Times New Roman"/>
              </w:rPr>
              <w:t>1. 在心理健康测评中筛查出来的有严重心理问题或有自杀倾向的同学；</w:t>
            </w:r>
          </w:p>
          <w:p w14:paraId="59B21821">
            <w:pPr>
              <w:widowControl/>
              <w:spacing w:line="360" w:lineRule="auto"/>
              <w:ind w:left="-19" w:leftChars="-9" w:firstLine="438" w:firstLineChars="209"/>
              <w:rPr>
                <w:rFonts w:hint="eastAsia" w:ascii="Times New Roman" w:hAnsi="Times New Roman"/>
              </w:rPr>
            </w:pPr>
            <w:r>
              <w:rPr>
                <w:rFonts w:hint="eastAsia" w:ascii="Times New Roman" w:hAnsi="Times New Roman"/>
              </w:rPr>
              <w:t>2. 环境适应困难的同学；</w:t>
            </w:r>
          </w:p>
          <w:p w14:paraId="1F9AA987">
            <w:pPr>
              <w:widowControl/>
              <w:spacing w:line="360" w:lineRule="auto"/>
              <w:ind w:left="-19" w:leftChars="-9" w:firstLine="438" w:firstLineChars="209"/>
              <w:rPr>
                <w:rFonts w:hint="eastAsia" w:ascii="Times New Roman" w:hAnsi="Times New Roman"/>
              </w:rPr>
            </w:pPr>
            <w:r>
              <w:rPr>
                <w:rFonts w:hint="eastAsia" w:ascii="Times New Roman" w:hAnsi="Times New Roman"/>
              </w:rPr>
              <w:t>3. 遭遇重大生活挫折的同学，如失恋或亲人的突然丧失等；</w:t>
            </w:r>
          </w:p>
          <w:p w14:paraId="12734954">
            <w:pPr>
              <w:widowControl/>
              <w:spacing w:line="360" w:lineRule="auto"/>
              <w:ind w:left="-19" w:leftChars="-9" w:firstLine="438" w:firstLineChars="209"/>
              <w:rPr>
                <w:rFonts w:hint="eastAsia" w:ascii="Times New Roman" w:hAnsi="Times New Roman"/>
              </w:rPr>
            </w:pPr>
            <w:r>
              <w:rPr>
                <w:rFonts w:hint="eastAsia" w:ascii="Times New Roman" w:hAnsi="Times New Roman"/>
              </w:rPr>
              <w:t>4. 有明显人格缺陷的同学，比如严重自卑；</w:t>
            </w:r>
          </w:p>
          <w:p w14:paraId="19F727D6">
            <w:pPr>
              <w:widowControl/>
              <w:spacing w:line="360" w:lineRule="auto"/>
              <w:ind w:left="-19" w:leftChars="-9" w:firstLine="438" w:firstLineChars="209"/>
              <w:rPr>
                <w:rFonts w:hint="eastAsia" w:ascii="Times New Roman" w:hAnsi="Times New Roman"/>
              </w:rPr>
            </w:pPr>
            <w:r>
              <w:rPr>
                <w:rFonts w:hint="eastAsia" w:ascii="Times New Roman" w:hAnsi="Times New Roman"/>
              </w:rPr>
              <w:t>5. 学习压力大，且自身难于排解的同学；</w:t>
            </w:r>
          </w:p>
          <w:p w14:paraId="5F6DC34C">
            <w:pPr>
              <w:widowControl/>
              <w:spacing w:line="360" w:lineRule="auto"/>
              <w:ind w:left="-19" w:leftChars="-9" w:firstLine="438" w:firstLineChars="209"/>
              <w:rPr>
                <w:rFonts w:hint="eastAsia" w:ascii="Times New Roman" w:hAnsi="Times New Roman"/>
              </w:rPr>
            </w:pPr>
            <w:r>
              <w:rPr>
                <w:rFonts w:hint="eastAsia" w:ascii="Times New Roman" w:hAnsi="Times New Roman"/>
              </w:rPr>
              <w:t>6. 认为前途渺茫及对就业压力无法积极应对的同学；</w:t>
            </w:r>
          </w:p>
          <w:p w14:paraId="7249E1A4">
            <w:pPr>
              <w:widowControl/>
              <w:spacing w:line="360" w:lineRule="auto"/>
              <w:ind w:left="-19" w:leftChars="-9" w:firstLine="438" w:firstLineChars="209"/>
              <w:rPr>
                <w:rFonts w:hint="eastAsia" w:ascii="Times New Roman" w:hAnsi="Times New Roman"/>
              </w:rPr>
            </w:pPr>
            <w:r>
              <w:rPr>
                <w:rFonts w:hint="eastAsia" w:ascii="Times New Roman" w:hAnsi="Times New Roman"/>
              </w:rPr>
              <w:t>7. 有自杀或伤害他人意念、行为的同学；</w:t>
            </w:r>
          </w:p>
          <w:p w14:paraId="65CDFDFD">
            <w:pPr>
              <w:widowControl/>
              <w:spacing w:line="360" w:lineRule="auto"/>
              <w:ind w:left="-19" w:leftChars="-9" w:firstLine="438" w:firstLineChars="209"/>
              <w:rPr>
                <w:rFonts w:hint="eastAsia" w:ascii="Times New Roman" w:hAnsi="Times New Roman"/>
              </w:rPr>
            </w:pPr>
            <w:r>
              <w:rPr>
                <w:rFonts w:hint="eastAsia" w:ascii="Times New Roman" w:hAnsi="Times New Roman"/>
              </w:rPr>
              <w:t>8. 家庭经济困难且性格内向，不主动寻求社会支持系统帮助的同学；</w:t>
            </w:r>
          </w:p>
          <w:p w14:paraId="39F932BC">
            <w:pPr>
              <w:widowControl/>
              <w:spacing w:line="360" w:lineRule="auto"/>
              <w:ind w:left="-19" w:leftChars="-9" w:firstLine="438" w:firstLineChars="209"/>
              <w:rPr>
                <w:rFonts w:hint="eastAsia" w:ascii="Times New Roman" w:hAnsi="Times New Roman"/>
              </w:rPr>
            </w:pPr>
            <w:r>
              <w:rPr>
                <w:rFonts w:hint="eastAsia" w:ascii="Times New Roman" w:hAnsi="Times New Roman"/>
              </w:rPr>
              <w:t>9. 有严重心理疾病的同学，如患有网瘾、抑郁症、躁狂症、恐惧症、强迫症、癔症等心理疾病的学生和精神分裂症治愈出院处于康复期的同学；</w:t>
            </w:r>
          </w:p>
          <w:p w14:paraId="7951A57C">
            <w:pPr>
              <w:widowControl/>
              <w:spacing w:line="360" w:lineRule="auto"/>
              <w:ind w:left="-19" w:leftChars="-9" w:firstLine="438" w:firstLineChars="209"/>
              <w:rPr>
                <w:rFonts w:hint="eastAsia" w:ascii="Times New Roman" w:hAnsi="Times New Roman"/>
              </w:rPr>
            </w:pPr>
            <w:r>
              <w:rPr>
                <w:rFonts w:hint="eastAsia" w:ascii="Times New Roman" w:hAnsi="Times New Roman"/>
              </w:rPr>
              <w:t>10. 重大危机的知情同学，比如自杀人员的室友。</w:t>
            </w:r>
          </w:p>
          <w:p w14:paraId="25BFA683">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（三）大学生心理危机干预的模式</w:t>
            </w:r>
          </w:p>
          <w:p w14:paraId="5A29921D">
            <w:pPr>
              <w:widowControl/>
              <w:spacing w:line="360" w:lineRule="auto"/>
              <w:ind w:left="-19" w:leftChars="-9" w:firstLine="438" w:firstLineChars="209"/>
              <w:rPr>
                <w:rFonts w:hint="eastAsia" w:ascii="Times New Roman" w:hAnsi="Times New Roman"/>
              </w:rPr>
            </w:pPr>
            <w:r>
              <w:rPr>
                <w:rFonts w:hint="eastAsia" w:ascii="Times New Roman" w:hAnsi="Times New Roman"/>
              </w:rPr>
              <w:t>从心理学角度看，危机干预有三种基本的模式：</w:t>
            </w:r>
          </w:p>
          <w:p w14:paraId="2D21CCD3">
            <w:pPr>
              <w:widowControl/>
              <w:spacing w:line="360" w:lineRule="auto"/>
              <w:ind w:left="-19" w:leftChars="-9" w:firstLine="438" w:firstLineChars="209"/>
              <w:rPr>
                <w:rFonts w:hint="eastAsia" w:ascii="Times New Roman" w:hAnsi="Times New Roman"/>
              </w:rPr>
            </w:pPr>
            <w:r>
              <w:rPr>
                <w:rFonts w:hint="eastAsia" w:ascii="Times New Roman" w:hAnsi="Times New Roman"/>
              </w:rPr>
              <w:t>第一，平衡模式。危机中的个体通常在情绪或心理方面失去了平衡，这导致原有的应付机制和解决问题的方法不能有效地处理危机。危机干预的目的就是帮助危机中的个体重新获得危机前的平衡状态。在危机的早期，个体通常感到无法控制事态，不能清楚地分析问题，做出适当的选择。此时可采用平衡模式，将主要精力集中在稳定个体的心理和情绪方面，重新达到某种程度的稳定。</w:t>
            </w:r>
          </w:p>
          <w:p w14:paraId="5D228521">
            <w:pPr>
              <w:widowControl/>
              <w:spacing w:line="360" w:lineRule="auto"/>
              <w:ind w:left="-19" w:leftChars="-9" w:firstLine="438" w:firstLineChars="209"/>
              <w:rPr>
                <w:rFonts w:hint="eastAsia" w:ascii="Times New Roman" w:hAnsi="Times New Roman"/>
              </w:rPr>
            </w:pPr>
            <w:r>
              <w:rPr>
                <w:rFonts w:hint="eastAsia" w:ascii="Times New Roman" w:hAnsi="Times New Roman"/>
              </w:rPr>
              <w:t>第二，认知模式。认知模式认为危机产生于对事件及其有关方面的错误思维，而不是事件本身。认知模式认为通过改变思维方式，特别是对认知中的非理性和自我否定部分进行重新认识，从而获得理性并强化思维中的理性和自强的成分，个体就能够获得对自己生活中危机的控制感。</w:t>
            </w:r>
          </w:p>
          <w:p w14:paraId="42A66098">
            <w:pPr>
              <w:widowControl/>
              <w:spacing w:line="360" w:lineRule="auto"/>
              <w:ind w:left="-19" w:leftChars="-9" w:firstLine="438" w:firstLineChars="209"/>
              <w:rPr>
                <w:rFonts w:hint="eastAsia" w:ascii="Times New Roman" w:hAnsi="Times New Roman"/>
              </w:rPr>
            </w:pPr>
            <w:r>
              <w:rPr>
                <w:rFonts w:hint="eastAsia" w:ascii="Times New Roman" w:hAnsi="Times New Roman"/>
              </w:rPr>
              <w:t>第三，心理社会转变模式。这种模式认为人是遗传天赋和社会化的产物。人们总是在不断地变化、发展和成长，而他们生活的社会环境和社会影响也在不断地变化，危机可能与内部和外部（心理的、社会的或环境的）困难有关。心理社会转变模式强调的危机不单是由个体的内部状态引起的，危机的产生还涉及个体以外的各种环境因素，如同伴、家庭、职业、社区等。</w:t>
            </w:r>
          </w:p>
          <w:p w14:paraId="76626985">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（四）大学生心理危机干预的步骤</w:t>
            </w:r>
          </w:p>
          <w:p w14:paraId="75687D78">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确定问题</w:t>
            </w:r>
          </w:p>
          <w:p w14:paraId="3659030C">
            <w:pPr>
              <w:widowControl/>
              <w:spacing w:line="360" w:lineRule="auto"/>
              <w:ind w:left="-19" w:leftChars="-9" w:firstLine="438" w:firstLineChars="209"/>
              <w:rPr>
                <w:rFonts w:hint="eastAsia" w:ascii="Times New Roman" w:hAnsi="Times New Roman"/>
              </w:rPr>
            </w:pPr>
            <w:r>
              <w:rPr>
                <w:rFonts w:hint="eastAsia" w:ascii="Times New Roman" w:hAnsi="Times New Roman"/>
              </w:rPr>
              <w:t>危机干预的第一步是确定问题。危机干预工作者应注意必须从求助者的角度，确定和理解求助者本人所认识的问题，这对于以后的整个危机干预工作的成败很关键。为了确定危机问题，主要采取倾听询问等技术，并注意向求助者表现出同情、理解、真诚、接纳和尊重的态度，和求助者建立良好的关系。</w:t>
            </w:r>
          </w:p>
          <w:p w14:paraId="6832DC55">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保证求助者安全</w:t>
            </w:r>
          </w:p>
          <w:p w14:paraId="3DDE87CE">
            <w:pPr>
              <w:widowControl/>
              <w:spacing w:line="360" w:lineRule="auto"/>
              <w:ind w:left="-19" w:leftChars="-9" w:firstLine="438" w:firstLineChars="209"/>
              <w:rPr>
                <w:rFonts w:hint="eastAsia" w:ascii="Times New Roman" w:hAnsi="Times New Roman"/>
              </w:rPr>
            </w:pPr>
            <w:r>
              <w:rPr>
                <w:rFonts w:hint="eastAsia" w:ascii="Times New Roman" w:hAnsi="Times New Roman"/>
              </w:rPr>
              <w:t>在危机干预过程中，干预者应该将保证求助者的安全作为首要目标，这是至关重要的。无论是在检查评估过程中，还是在倾听询问阶段，或者是在制订行动策略阶段，安全问题都必须给以足够的关注，一时一刻都不能放松。</w:t>
            </w:r>
          </w:p>
          <w:p w14:paraId="5AEBEF21">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提供支持</w:t>
            </w:r>
          </w:p>
          <w:p w14:paraId="2F098DF7">
            <w:pPr>
              <w:widowControl/>
              <w:spacing w:line="360" w:lineRule="auto"/>
              <w:ind w:left="-19" w:leftChars="-9" w:firstLine="438" w:firstLineChars="209"/>
              <w:rPr>
                <w:rFonts w:hint="eastAsia" w:ascii="Times New Roman" w:hAnsi="Times New Roman"/>
              </w:rPr>
            </w:pPr>
            <w:r>
              <w:rPr>
                <w:rFonts w:hint="eastAsia" w:ascii="Times New Roman" w:hAnsi="Times New Roman"/>
              </w:rPr>
              <w:t>第三步要求危机干预工作者给予求助者足够的支持，与求助者沟通与交流，让求助者知道干预者是能够给予其关心帮助的人。</w:t>
            </w:r>
          </w:p>
          <w:p w14:paraId="494AA9FD">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4. 提供应对方式</w:t>
            </w:r>
          </w:p>
          <w:p w14:paraId="73F11F23">
            <w:pPr>
              <w:widowControl/>
              <w:spacing w:line="360" w:lineRule="auto"/>
              <w:ind w:left="-19" w:leftChars="-9" w:firstLine="438" w:firstLineChars="209"/>
              <w:rPr>
                <w:rFonts w:hint="eastAsia" w:ascii="Times New Roman" w:hAnsi="Times New Roman"/>
              </w:rPr>
            </w:pPr>
            <w:r>
              <w:rPr>
                <w:rFonts w:hint="eastAsia" w:ascii="Times New Roman" w:hAnsi="Times New Roman"/>
              </w:rPr>
              <w:t>由于在危机中的求助者多数情况下处于思维不灵活甚至混乱的状态，在这一步的工作中，干预者要帮助求助者认识到，有许多可变通的应对方式可供选择，可以从中找出最适当的选择，寻求最好的应对方式。</w:t>
            </w:r>
          </w:p>
          <w:p w14:paraId="2B13327E">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5. 制订具体计划</w:t>
            </w:r>
          </w:p>
          <w:p w14:paraId="275477C3">
            <w:pPr>
              <w:widowControl/>
              <w:spacing w:line="360" w:lineRule="auto"/>
              <w:ind w:left="-19" w:leftChars="-9" w:firstLine="438" w:firstLineChars="209"/>
              <w:rPr>
                <w:rFonts w:hint="eastAsia" w:ascii="Times New Roman" w:hAnsi="Times New Roman"/>
              </w:rPr>
            </w:pPr>
            <w:r>
              <w:rPr>
                <w:rFonts w:hint="eastAsia" w:ascii="Times New Roman" w:hAnsi="Times New Roman"/>
              </w:rPr>
              <w:t>这一步是从第四步自然、有逻辑地发展而来的，危机干预工作者与求助者共同制订具体的行动计划来矫正其情绪的失衡状态。</w:t>
            </w:r>
          </w:p>
          <w:p w14:paraId="10F945D5">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6. 获得承诺</w:t>
            </w:r>
          </w:p>
          <w:p w14:paraId="2396F740">
            <w:pPr>
              <w:widowControl/>
              <w:spacing w:line="360" w:lineRule="auto"/>
              <w:ind w:left="-19" w:leftChars="-9" w:firstLine="438" w:firstLineChars="209"/>
              <w:rPr>
                <w:rFonts w:hint="eastAsia" w:ascii="Times New Roman" w:hAnsi="Times New Roman"/>
              </w:rPr>
            </w:pPr>
            <w:r>
              <w:rPr>
                <w:rFonts w:hint="eastAsia" w:ascii="Times New Roman" w:hAnsi="Times New Roman"/>
              </w:rPr>
              <w:t>如果制订计划这一步完成得较好，得到求助者的承诺就比较容易。一般情况下，这一步操作起来比较简单，干预者可让求助者复述一遍计划。</w:t>
            </w:r>
          </w:p>
          <w:p w14:paraId="261507B7">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四、大学生面对危机时的自我调整</w:t>
            </w:r>
          </w:p>
          <w:p w14:paraId="5506083C">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（一）珍爱生命</w:t>
            </w:r>
          </w:p>
          <w:p w14:paraId="179F522B">
            <w:pPr>
              <w:widowControl/>
              <w:spacing w:line="360" w:lineRule="auto"/>
              <w:ind w:left="-19" w:leftChars="-9" w:firstLine="438" w:firstLineChars="209"/>
              <w:rPr>
                <w:rFonts w:hint="eastAsia" w:ascii="Times New Roman" w:hAnsi="Times New Roman"/>
              </w:rPr>
            </w:pPr>
            <w:r>
              <w:rPr>
                <w:rFonts w:hint="eastAsia" w:ascii="Times New Roman" w:hAnsi="Times New Roman"/>
              </w:rPr>
              <w:t>人是宇宙之生灵，是经历物质世界无数次偶然的巧合进化而来的最高级物质形态。人类之所以产生，一个生命能够诞生其实都是一个奇迹，所以作为这些奇迹的每一个大学生，我们需要认识到人的生命是可贵的，它是一切情感、智慧、美好事物的载体。生命的可贵，在于生命溯源的源远流长；生命的可贵，体现在生命的遗传特征；生命的可贵，表现在生命探秘的永无止境。生命是人的一种生存、活着的状态。人不同于动物就在于人活着是有意义的。动物为活着而活着，无理想，无追求，只有本能的满足。但人是有意识的动物，为意义而存在。这就是人的生命的两重性。前者是后者的前提基础，没有生命的存在，谈不上生命的意义，所以世间最宝贵的是什么，是生命，且只有生命。我们反对脱离生命空谈“意义”，反对以生命的牺牲为代价追求所谓的“意义”。大学生珍惜生命，不仅要珍惜自己的生命，而且要珍爱他人的生命。</w:t>
            </w:r>
          </w:p>
          <w:p w14:paraId="1609AA0E">
            <w:pPr>
              <w:widowControl/>
              <w:spacing w:line="360" w:lineRule="auto"/>
              <w:ind w:left="-19" w:leftChars="-9" w:firstLine="438" w:firstLineChars="209"/>
              <w:rPr>
                <w:rFonts w:hint="eastAsia" w:ascii="Times New Roman" w:hAnsi="Times New Roman"/>
              </w:rPr>
            </w:pPr>
            <w:r>
              <w:rPr>
                <w:rFonts w:hint="eastAsia" w:ascii="Times New Roman" w:hAnsi="Times New Roman"/>
              </w:rPr>
              <w:t>大学生珍爱自己的生命应做到：</w:t>
            </w:r>
          </w:p>
          <w:p w14:paraId="574D44EF">
            <w:pPr>
              <w:widowControl/>
              <w:spacing w:line="360" w:lineRule="auto"/>
              <w:ind w:left="-19" w:leftChars="-9" w:firstLine="438" w:firstLineChars="209"/>
              <w:rPr>
                <w:rFonts w:hint="eastAsia" w:ascii="Times New Roman" w:hAnsi="Times New Roman"/>
              </w:rPr>
            </w:pPr>
            <w:r>
              <w:rPr>
                <w:rFonts w:hint="eastAsia" w:ascii="Times New Roman" w:hAnsi="Times New Roman"/>
              </w:rPr>
              <w:t>其一，了解自己的身体构造及生命的基本特征。</w:t>
            </w:r>
          </w:p>
          <w:p w14:paraId="4AB17489">
            <w:pPr>
              <w:widowControl/>
              <w:spacing w:line="360" w:lineRule="auto"/>
              <w:ind w:left="-19" w:leftChars="-9" w:firstLine="438" w:firstLineChars="209"/>
              <w:rPr>
                <w:rFonts w:hint="eastAsia" w:ascii="Times New Roman" w:hAnsi="Times New Roman"/>
              </w:rPr>
            </w:pPr>
            <w:r>
              <w:rPr>
                <w:rFonts w:hint="eastAsia" w:ascii="Times New Roman" w:hAnsi="Times New Roman"/>
              </w:rPr>
              <w:t>其二，熟知有关保持身体健康和心理健康的知识，有强健的体魄，并懂得如何维护好自己的心理健康，有基本的生存技能。如懂得在地震、火灾、溺水时如何自救和他救，如何在救援没有到来的时候保存生命维持体力，为救援赢得时间等。</w:t>
            </w:r>
          </w:p>
          <w:p w14:paraId="4282906B">
            <w:pPr>
              <w:widowControl/>
              <w:spacing w:line="360" w:lineRule="auto"/>
              <w:ind w:left="-19" w:leftChars="-9" w:firstLine="438" w:firstLineChars="209"/>
              <w:rPr>
                <w:rFonts w:hint="eastAsia" w:ascii="Times New Roman" w:hAnsi="Times New Roman"/>
              </w:rPr>
            </w:pPr>
            <w:r>
              <w:rPr>
                <w:rFonts w:hint="eastAsia" w:ascii="Times New Roman" w:hAnsi="Times New Roman"/>
              </w:rPr>
              <w:t>其三，在人生遇到挫折和痛苦的时候，能够调节不良情绪，知道人可以输掉全部，但不能输掉生存的意志，明白“留得青山在，不怕没柴烧”的道理，懂得“只要生命还在，一切可以重来”的道理。</w:t>
            </w:r>
          </w:p>
          <w:p w14:paraId="69099306">
            <w:pPr>
              <w:widowControl/>
              <w:spacing w:line="360" w:lineRule="auto"/>
              <w:ind w:left="-19" w:leftChars="-9" w:firstLine="438" w:firstLineChars="209"/>
              <w:rPr>
                <w:rFonts w:hint="eastAsia" w:ascii="Times New Roman" w:hAnsi="Times New Roman"/>
              </w:rPr>
            </w:pPr>
            <w:r>
              <w:rPr>
                <w:rFonts w:hint="eastAsia" w:ascii="Times New Roman" w:hAnsi="Times New Roman"/>
              </w:rPr>
              <w:t>大学生在珍爱他人的生命方面表现在：像珍爱自己的生命一样珍爱他人的生命。不怨天尤人，不伤害他人；能与他人和谐共处，遵守与人为善的原则，坚持以人为本的理念；懂得大自然的一切事物都有生命，明白践踏草坪、摘折花木、捕捉动物都是一种“伤害生命”的行为。</w:t>
            </w:r>
          </w:p>
          <w:p w14:paraId="78A875D8">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（二）积极创造生命价值</w:t>
            </w:r>
          </w:p>
          <w:p w14:paraId="37F7FB36">
            <w:pPr>
              <w:widowControl/>
              <w:spacing w:line="360" w:lineRule="auto"/>
              <w:ind w:left="-19" w:leftChars="-9" w:firstLine="438" w:firstLineChars="209"/>
              <w:rPr>
                <w:rFonts w:hint="eastAsia" w:ascii="Times New Roman" w:hAnsi="Times New Roman"/>
              </w:rPr>
            </w:pPr>
            <w:r>
              <w:rPr>
                <w:rFonts w:hint="eastAsia" w:ascii="Times New Roman" w:hAnsi="Times New Roman"/>
              </w:rPr>
              <w:t>生命是珍贵的，作为大学生我们需要珍惜生命，但同时，动物活着是为了吃饭，但人活着却不仅仅是为了吃饭，人的生命还有其他的追求。人的生命是一切实践活动的前提和基础，生命还在，发展的可能性就存在，生命与发展的可能性同在。大学生不仅要珍爱生命，并且要在拥有并珍惜生命的基础上积极主动地创造生命价值。</w:t>
            </w:r>
          </w:p>
          <w:p w14:paraId="0C64EE24">
            <w:pPr>
              <w:widowControl/>
              <w:spacing w:line="360" w:lineRule="auto"/>
              <w:ind w:left="-19" w:leftChars="-9" w:firstLine="438" w:firstLineChars="209"/>
              <w:rPr>
                <w:rFonts w:hint="eastAsia" w:ascii="Times New Roman" w:hAnsi="Times New Roman"/>
              </w:rPr>
            </w:pPr>
            <w:r>
              <w:rPr>
                <w:rFonts w:hint="eastAsia" w:ascii="Times New Roman" w:hAnsi="Times New Roman"/>
              </w:rPr>
              <w:t>生命价值是自我价值和社会价值的辩证统一。具体说来：生命价值是个体生命对于个体自我及社会需要的满足。它包含两个方面的内容：一方面指个体通过实践活动满足自我发展自我实现的需要，这也符合马斯洛关于需要层次的基本理论。生命个体通过努力能不断地去追求生命、热爱生命，自我感到活得舒展，活得满意，有较高的生存质量；</w:t>
            </w:r>
          </w:p>
          <w:p w14:paraId="58832135">
            <w:pPr>
              <w:widowControl/>
              <w:spacing w:line="360" w:lineRule="auto"/>
              <w:ind w:left="-19" w:leftChars="-9" w:firstLine="438" w:firstLineChars="209"/>
              <w:rPr>
                <w:rFonts w:hint="eastAsia" w:ascii="Times New Roman" w:hAnsi="Times New Roman"/>
              </w:rPr>
            </w:pPr>
            <w:r>
              <w:rPr>
                <w:rFonts w:hint="eastAsia" w:ascii="Times New Roman" w:hAnsi="Times New Roman"/>
              </w:rPr>
              <w:t>另一方面，指个体通过社会实践活动来满足社会和他人的需要，通过对社会对他人的责任和贡献来实现人生价值的追求。大学生处于求学时期，是社会化的前期阶段，其生命价值主要体现为内在价值，即内在的体能、知识、技能、品德的积累。能积极主动创造生命价值这一目标要求大学生做到：</w:t>
            </w:r>
          </w:p>
          <w:p w14:paraId="366D12FF">
            <w:pPr>
              <w:widowControl/>
              <w:spacing w:line="360" w:lineRule="auto"/>
              <w:ind w:left="-19" w:leftChars="-9" w:firstLine="438" w:firstLineChars="209"/>
              <w:rPr>
                <w:rFonts w:hint="eastAsia" w:ascii="Times New Roman" w:hAnsi="Times New Roman"/>
              </w:rPr>
            </w:pPr>
            <w:r>
              <w:rPr>
                <w:rFonts w:hint="eastAsia" w:ascii="Times New Roman" w:hAnsi="Times New Roman"/>
              </w:rPr>
              <w:t>其一，我们大学生应该明白有理想、有追求，以及“志当存高远”的重要性，认识到成功是在不懈的追求与奋斗中实现的。切勿得过且过，做一天和尚撞一天钟。</w:t>
            </w:r>
          </w:p>
          <w:p w14:paraId="23B317AE">
            <w:pPr>
              <w:widowControl/>
              <w:spacing w:line="360" w:lineRule="auto"/>
              <w:ind w:left="-19" w:leftChars="-9" w:firstLine="438" w:firstLineChars="209"/>
              <w:rPr>
                <w:rFonts w:hint="eastAsia" w:ascii="Times New Roman" w:hAnsi="Times New Roman"/>
              </w:rPr>
            </w:pPr>
            <w:r>
              <w:rPr>
                <w:rFonts w:hint="eastAsia" w:ascii="Times New Roman" w:hAnsi="Times New Roman"/>
              </w:rPr>
              <w:t>其二，充满青春与活力，朝气蓬勃。大学生是人的一生当中精力最旺盛的时期，也是充满无数可能的时期，作为大学生的我们，一定要运用我们充足的精力去实现生命的无限可能性。</w:t>
            </w:r>
          </w:p>
          <w:p w14:paraId="21903085">
            <w:pPr>
              <w:widowControl/>
              <w:spacing w:line="360" w:lineRule="auto"/>
              <w:ind w:left="-19" w:leftChars="-9" w:firstLine="438" w:firstLineChars="209"/>
              <w:rPr>
                <w:rFonts w:hint="eastAsia" w:ascii="Times New Roman" w:hAnsi="Times New Roman"/>
                <w:b/>
                <w:bCs/>
              </w:rPr>
            </w:pPr>
            <w:r>
              <w:rPr>
                <w:rFonts w:hint="eastAsia" w:ascii="Times New Roman" w:hAnsi="Times New Roman"/>
              </w:rPr>
              <w:t>其三，无论是身处顺境还是逆境，都能积极乐观地面对。大学生要明白，逆境是生命中必不可少的一个部分，同时也是生命成长的“磨刀石”，只有那些在逆境中坚持下来的人，才是真正的强者，大学生要创造生命价值，前提就是要能够在遇到挫折时毫不退缩，更不要轻易伤害或放弃自己的生命。</w:t>
            </w:r>
          </w:p>
          <w:p w14:paraId="4930E7C4">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（三）自觉提升生命价值</w:t>
            </w:r>
          </w:p>
          <w:p w14:paraId="49565B9B">
            <w:pPr>
              <w:widowControl/>
              <w:spacing w:line="360" w:lineRule="auto"/>
              <w:ind w:left="-19" w:leftChars="-9" w:firstLine="438" w:firstLineChars="209"/>
              <w:rPr>
                <w:rFonts w:hint="eastAsia" w:ascii="Times New Roman" w:hAnsi="Times New Roman"/>
              </w:rPr>
            </w:pPr>
            <w:r>
              <w:rPr>
                <w:rFonts w:hint="eastAsia" w:ascii="Times New Roman" w:hAnsi="Times New Roman"/>
              </w:rPr>
              <w:t>生命本身就有着崇高的价值，生命的价值不仅在于肉体的存在，生命的延长和外表的美丽，更重要的是一种精神的存在，在于心灵的善良，灵魂的美丽和人格的健全。作为 21 世纪的大学生，在保持自己身心健康的基础上，服务于他人，服务于社会，通过自己的努力为和谐社会作一份贡献，这将是更有意义更有价值的事情。</w:t>
            </w:r>
          </w:p>
          <w:p w14:paraId="58B56424">
            <w:pPr>
              <w:widowControl/>
              <w:spacing w:line="360" w:lineRule="auto"/>
              <w:ind w:left="-19" w:leftChars="-9" w:firstLine="438" w:firstLineChars="209"/>
              <w:rPr>
                <w:rFonts w:hint="eastAsia" w:ascii="Times New Roman" w:hAnsi="Times New Roman"/>
              </w:rPr>
            </w:pPr>
            <w:r>
              <w:rPr>
                <w:rFonts w:hint="eastAsia" w:ascii="Times New Roman" w:hAnsi="Times New Roman"/>
              </w:rPr>
              <w:t>根据一项对大学生的调查发现：大多数的学生认为，人应该为社会做出贡献。但也有些学生认为人活着首先是为自己而活，其次才是为他人而活。他们一方面认为把自己的快乐建立在他人快乐之上，人生会无限美好；另一方面，认为只要没有违反法律和道德，自己想干什么就可以干什么。这部分学生的认识有失偏颇，因为法律和道德只是人的行为的最基本规范，是底线，违背它会受到惩罚或者谴责，但作为新时期的大学生，我们不能仅仅靠底线生活，我们应该有更高的追求，我们应该有道德的自律，用高尚的道德情操来要求我们的言行，通过践行“我为人人，人人为我”的信条，为创造和谐美</w:t>
            </w:r>
            <w:bookmarkStart w:id="0" w:name="_GoBack"/>
            <w:bookmarkEnd w:id="0"/>
            <w:r>
              <w:rPr>
                <w:rFonts w:hint="eastAsia" w:ascii="Times New Roman" w:hAnsi="Times New Roman"/>
              </w:rPr>
              <w:t>好社会作出贡献。</w:t>
            </w:r>
          </w:p>
          <w:p w14:paraId="041A209B">
            <w:pPr>
              <w:widowControl/>
              <w:spacing w:line="360" w:lineRule="auto"/>
              <w:rPr>
                <w:rFonts w:ascii="Times New Roman" w:hAnsi="Times New Roman"/>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tc>
        <w:tc>
          <w:tcPr>
            <w:tcW w:w="1617" w:type="dxa"/>
            <w:tcBorders>
              <w:top w:val="dashSmallGap" w:color="E54C5E" w:themeColor="accent6" w:sz="4" w:space="0"/>
              <w:left w:val="dashSmallGap" w:color="F4B382" w:themeColor="accent2" w:themeTint="99" w:sz="4" w:space="0"/>
              <w:bottom w:val="dashSmallGap" w:color="4874CB" w:themeColor="accent1" w:sz="4" w:space="0"/>
            </w:tcBorders>
            <w:shd w:val="clear" w:color="auto" w:fill="auto"/>
            <w:vAlign w:val="center"/>
          </w:tcPr>
          <w:p w14:paraId="56BF8B81">
            <w:pPr>
              <w:spacing w:line="360" w:lineRule="auto"/>
              <w:jc w:val="both"/>
              <w:rPr>
                <w:rFonts w:ascii="Times New Roman" w:hAnsi="Times New Roman"/>
                <w:b/>
                <w:szCs w:val="24"/>
              </w:rPr>
            </w:pPr>
            <w:r>
              <w:rPr>
                <w:rFonts w:hint="eastAsia" w:ascii="Times New Roman" w:hAnsi="Times New Roman"/>
                <w:b w:val="0"/>
                <w:bCs/>
                <w:spacing w:val="6"/>
                <w:sz w:val="21"/>
                <w:szCs w:val="24"/>
              </w:rPr>
              <w:t>通过</w:t>
            </w:r>
            <w:r>
              <w:rPr>
                <w:rFonts w:hint="eastAsia" w:ascii="Times New Roman" w:hAnsi="Times New Roman"/>
                <w:b w:val="0"/>
                <w:bCs/>
                <w:spacing w:val="6"/>
                <w:sz w:val="21"/>
                <w:szCs w:val="24"/>
                <w:lang w:eastAsia="zh-CN"/>
              </w:rPr>
              <w:t>分享见解</w:t>
            </w:r>
            <w:r>
              <w:rPr>
                <w:rFonts w:hint="eastAsia" w:ascii="Times New Roman" w:hAnsi="Times New Roman"/>
                <w:b w:val="0"/>
                <w:bCs/>
                <w:spacing w:val="6"/>
                <w:sz w:val="21"/>
                <w:szCs w:val="24"/>
              </w:rPr>
              <w:t>，带领学生</w:t>
            </w:r>
            <w:r>
              <w:rPr>
                <w:rFonts w:hint="eastAsia" w:ascii="Times New Roman" w:hAnsi="Times New Roman"/>
                <w:b w:val="0"/>
                <w:bCs/>
                <w:spacing w:val="6"/>
                <w:sz w:val="21"/>
                <w:szCs w:val="24"/>
                <w:lang w:eastAsia="zh-CN"/>
              </w:rPr>
              <w:t>进一步了解大学生心理危机与危机干预</w:t>
            </w:r>
            <w:r>
              <w:rPr>
                <w:rFonts w:hint="eastAsia" w:ascii="Times New Roman" w:hAnsi="Times New Roman"/>
                <w:b w:val="0"/>
                <w:bCs/>
                <w:spacing w:val="6"/>
                <w:sz w:val="21"/>
                <w:szCs w:val="24"/>
              </w:rPr>
              <w:t>，客观直接的展示大学生心理危机与危机干预的基础知识。</w:t>
            </w:r>
          </w:p>
        </w:tc>
      </w:tr>
      <w:tr w14:paraId="735D45C3">
        <w:trPr>
          <w:trHeight w:val="567" w:hRule="atLeast"/>
          <w:jc w:val="center"/>
        </w:trPr>
        <w:tc>
          <w:tcPr>
            <w:tcW w:w="1538" w:type="dxa"/>
            <w:tcBorders>
              <w:top w:val="dashSmallGap" w:color="4874CB" w:themeColor="accent1" w:sz="4" w:space="0"/>
              <w:bottom w:val="dashSmallGap" w:color="F4B382" w:themeColor="accent2" w:themeTint="99" w:sz="4" w:space="0"/>
              <w:right w:val="dashSmallGap" w:color="E54C5E" w:themeColor="accent6" w:sz="4" w:space="0"/>
            </w:tcBorders>
            <w:shd w:val="clear" w:color="auto" w:fill="F9DBDF" w:themeFill="accent6" w:themeFillTint="32"/>
            <w:vAlign w:val="center"/>
          </w:tcPr>
          <w:p w14:paraId="1536DAC2">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51321" w:themeColor="accent6" w:themeShade="80"/>
                <w:sz w:val="24"/>
                <w:szCs w:val="24"/>
              </w:rPr>
              <w:t>课堂小结</w:t>
            </w:r>
          </w:p>
          <w:p w14:paraId="6822D827">
            <w:pPr>
              <w:spacing w:line="360" w:lineRule="auto"/>
              <w:jc w:val="center"/>
              <w:rPr>
                <w:rFonts w:ascii="Times New Roman" w:hAnsi="Times New Roman"/>
                <w:color w:val="249087" w:themeColor="accent5" w:themeShade="BF"/>
              </w:rPr>
            </w:pPr>
            <w:r>
              <w:rPr>
                <w:rFonts w:ascii="Times New Roman" w:hAnsi="Times New Roman"/>
                <w:color w:val="851321" w:themeColor="accent6" w:themeShade="80"/>
                <w:szCs w:val="24"/>
              </w:rPr>
              <w:t>（3</w:t>
            </w:r>
            <w:r>
              <w:rPr>
                <w:rFonts w:hint="eastAsia" w:ascii="Times New Roman" w:hAnsi="Times New Roman"/>
                <w:color w:val="851321" w:themeColor="accent6" w:themeShade="80"/>
                <w:szCs w:val="24"/>
              </w:rPr>
              <w:t>min</w:t>
            </w:r>
            <w:r>
              <w:rPr>
                <w:rFonts w:ascii="Times New Roman" w:hAnsi="Times New Roman"/>
                <w:color w:val="851321" w:themeColor="accent6" w:themeShade="80"/>
                <w:szCs w:val="24"/>
              </w:rPr>
              <w:t>）</w:t>
            </w:r>
          </w:p>
        </w:tc>
        <w:tc>
          <w:tcPr>
            <w:tcW w:w="7050" w:type="dxa"/>
            <w:tcBorders>
              <w:top w:val="dashSmallGap" w:color="4874CB" w:themeColor="accent1" w:sz="4" w:space="0"/>
              <w:left w:val="dashSmallGap" w:color="E54C5E" w:themeColor="accent6" w:sz="4" w:space="0"/>
              <w:bottom w:val="dashSmallGap" w:color="F4B382" w:themeColor="accent2" w:themeTint="99" w:sz="4" w:space="0"/>
              <w:right w:val="dashSmallGap" w:color="E54C5E" w:themeColor="accent6" w:sz="4" w:space="0"/>
            </w:tcBorders>
            <w:shd w:val="clear" w:color="auto" w:fill="F8FFF5"/>
            <w:vAlign w:val="center"/>
          </w:tcPr>
          <w:p w14:paraId="1EAEBC0A">
            <w:pPr>
              <w:spacing w:line="360"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14:paraId="5643C477">
            <w:pPr>
              <w:spacing w:line="360" w:lineRule="auto"/>
              <w:ind w:firstLine="420" w:firstLineChars="200"/>
              <w:rPr>
                <w:rFonts w:hint="eastAsia" w:ascii="Times New Roman" w:hAnsi="Times New Roman" w:eastAsia="宋体"/>
                <w:b/>
                <w:lang w:eastAsia="zh-CN"/>
              </w:rPr>
            </w:pPr>
            <w:r>
              <w:rPr>
                <w:rFonts w:hint="eastAsia" w:ascii="Times New Roman" w:hAnsi="Times New Roman"/>
                <w:b/>
              </w:rPr>
              <w:t>这节课</w:t>
            </w:r>
            <w:r>
              <w:rPr>
                <w:rFonts w:ascii="Times New Roman" w:hAnsi="Times New Roman"/>
                <w:b/>
              </w:rPr>
              <w:t>上一起学习了</w:t>
            </w:r>
            <w:r>
              <w:rPr>
                <w:rFonts w:hint="eastAsia" w:ascii="宋体" w:hAnsi="宋体" w:cs="宋体"/>
                <w:b/>
                <w:kern w:val="0"/>
                <w:szCs w:val="24"/>
              </w:rPr>
              <w:t>大学生心理危机与危机干预</w:t>
            </w:r>
            <w:r>
              <w:rPr>
                <w:rFonts w:hint="eastAsia" w:ascii="Times New Roman" w:hAnsi="Times New Roman"/>
                <w:b/>
              </w:rPr>
              <w:t>。因此明白了危机是一个动态发展的过程，每个发展阶段各有不同特点，当事人会有不同的心理和行为表现。</w:t>
            </w:r>
          </w:p>
          <w:p w14:paraId="4133753C">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617" w:type="dxa"/>
            <w:tcBorders>
              <w:top w:val="dashSmallGap" w:color="4874CB" w:themeColor="accent1" w:sz="4" w:space="0"/>
              <w:left w:val="dashSmallGap" w:color="E54C5E" w:themeColor="accent6" w:sz="4" w:space="0"/>
              <w:bottom w:val="dashSmallGap" w:color="F4B382" w:themeColor="accent2" w:themeTint="99" w:sz="4" w:space="0"/>
            </w:tcBorders>
            <w:shd w:val="clear" w:color="auto" w:fill="F8FFF5"/>
            <w:vAlign w:val="center"/>
          </w:tcPr>
          <w:p w14:paraId="0BF15564">
            <w:pPr>
              <w:spacing w:line="360" w:lineRule="auto"/>
              <w:rPr>
                <w:rFonts w:ascii="Times New Roman" w:hAnsi="Times New Roman"/>
                <w:b w:val="0"/>
                <w:bCs/>
              </w:rPr>
            </w:pPr>
            <w:r>
              <w:rPr>
                <w:rFonts w:hint="eastAsia" w:ascii="Times New Roman" w:hAnsi="Times New Roman"/>
                <w:b w:val="0"/>
                <w:bCs/>
              </w:rPr>
              <w:t>通过对所学知识的回顾，培养学生的归纳总结能力。</w:t>
            </w:r>
          </w:p>
        </w:tc>
      </w:tr>
      <w:tr w14:paraId="0F70CB26">
        <w:trPr>
          <w:trHeight w:val="567" w:hRule="atLeast"/>
          <w:jc w:val="center"/>
        </w:trPr>
        <w:tc>
          <w:tcPr>
            <w:tcW w:w="1538" w:type="dxa"/>
            <w:tcBorders>
              <w:top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E3F2D9" w:themeFill="accent4" w:themeFillTint="32"/>
            <w:vAlign w:val="center"/>
          </w:tcPr>
          <w:p w14:paraId="29967899">
            <w:pPr>
              <w:spacing w:line="360" w:lineRule="auto"/>
              <w:jc w:val="center"/>
              <w:rPr>
                <w:rFonts w:ascii="Times New Roman" w:hAnsi="Times New Roman"/>
                <w:color w:val="249087" w:themeColor="accent5" w:themeShade="BF"/>
              </w:rPr>
            </w:pPr>
            <w:r>
              <w:rPr>
                <w:rFonts w:hint="eastAsia" w:ascii="微软雅黑" w:hAnsi="微软雅黑" w:eastAsia="微软雅黑"/>
                <w:b/>
                <w:color w:val="843F0B" w:themeColor="accent2" w:themeShade="80"/>
                <w:sz w:val="24"/>
                <w:szCs w:val="24"/>
              </w:rPr>
              <w:t>作业布置</w:t>
            </w:r>
            <w:r>
              <w:rPr>
                <w:rFonts w:ascii="Times New Roman" w:hAnsi="Times New Roman"/>
                <w:color w:val="843F0B" w:themeColor="accent2" w:themeShade="80"/>
                <w:szCs w:val="24"/>
              </w:rPr>
              <w:t>（2</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ashSmallGap" w:color="F4B382" w:themeColor="accent2" w:themeTint="99" w:sz="4" w:space="0"/>
              <w:left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FEFFE9"/>
            <w:vAlign w:val="center"/>
          </w:tcPr>
          <w:p w14:paraId="1EE19599">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14:paraId="323B3DA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b/>
                <w:lang w:eastAsia="zh-CN"/>
              </w:rPr>
            </w:pPr>
            <w:r>
              <w:rPr>
                <w:rFonts w:hint="eastAsia" w:ascii="Times New Roman" w:hAnsi="Times New Roman"/>
                <w:b/>
                <w:lang w:eastAsia="zh-CN"/>
              </w:rPr>
              <w:t>简述</w:t>
            </w:r>
            <w:r>
              <w:rPr>
                <w:rFonts w:hint="eastAsia" w:ascii="Times New Roman" w:hAnsi="Times New Roman"/>
                <w:b/>
              </w:rPr>
              <w:t>大学生心理危机的表现</w:t>
            </w:r>
            <w:r>
              <w:rPr>
                <w:rFonts w:hint="eastAsia" w:ascii="Times New Roman" w:hAnsi="Times New Roman"/>
                <w:b/>
                <w:lang w:eastAsia="zh-CN"/>
              </w:rPr>
              <w:t>。</w:t>
            </w:r>
          </w:p>
        </w:tc>
        <w:tc>
          <w:tcPr>
            <w:tcW w:w="1617" w:type="dxa"/>
            <w:tcBorders>
              <w:top w:val="dashSmallGap" w:color="F4B382" w:themeColor="accent2" w:themeTint="99" w:sz="4" w:space="0"/>
              <w:left w:val="dashSmallGap" w:color="F4B382" w:themeColor="accent2" w:themeTint="99" w:sz="4" w:space="0"/>
              <w:bottom w:val="dashSmallGap" w:color="F4B382" w:themeColor="accent2" w:themeTint="99" w:sz="4" w:space="0"/>
            </w:tcBorders>
            <w:shd w:val="clear" w:color="auto" w:fill="FEFFE9"/>
            <w:vAlign w:val="center"/>
          </w:tcPr>
          <w:p w14:paraId="729BC203">
            <w:pPr>
              <w:spacing w:line="360" w:lineRule="auto"/>
              <w:rPr>
                <w:rFonts w:ascii="Times New Roman" w:hAnsi="Times New Roman"/>
                <w:b w:val="0"/>
                <w:bCs/>
              </w:rPr>
            </w:pPr>
            <w:r>
              <w:rPr>
                <w:rFonts w:hint="eastAsia" w:ascii="Times New Roman" w:hAnsi="Times New Roman"/>
                <w:b w:val="0"/>
                <w:bCs/>
              </w:rPr>
              <w:t>通过课后练习，使学生巩固所学新知识</w:t>
            </w:r>
          </w:p>
        </w:tc>
      </w:tr>
      <w:tr w14:paraId="2E9C8FC5">
        <w:trPr>
          <w:trHeight w:val="567" w:hRule="atLeast"/>
          <w:jc w:val="center"/>
        </w:trPr>
        <w:tc>
          <w:tcPr>
            <w:tcW w:w="1538" w:type="dxa"/>
            <w:tcBorders>
              <w:top w:val="double" w:color="833F0A" w:themeColor="accent2" w:themeShade="7F" w:sz="4" w:space="0"/>
            </w:tcBorders>
            <w:shd w:val="clear" w:color="auto" w:fill="ACD78D" w:themeFill="accent4" w:themeFillTint="99"/>
            <w:vAlign w:val="center"/>
          </w:tcPr>
          <w:p w14:paraId="35DBBA56">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43F0B" w:themeColor="accent2" w:themeShade="80"/>
                <w:sz w:val="24"/>
                <w:szCs w:val="24"/>
              </w:rPr>
              <w:t>教学反思</w:t>
            </w:r>
          </w:p>
        </w:tc>
        <w:tc>
          <w:tcPr>
            <w:tcW w:w="8667" w:type="dxa"/>
            <w:gridSpan w:val="2"/>
            <w:tcBorders>
              <w:top w:val="double" w:color="833F0A" w:themeColor="accent2" w:themeShade="7F" w:sz="4" w:space="0"/>
            </w:tcBorders>
            <w:shd w:val="clear" w:color="auto" w:fill="ACD78D" w:themeFill="accent4" w:themeFillTint="99"/>
            <w:vAlign w:val="center"/>
          </w:tcPr>
          <w:p w14:paraId="7D862DC6">
            <w:pPr>
              <w:spacing w:line="360" w:lineRule="auto"/>
              <w:rPr>
                <w:rFonts w:ascii="Times New Roman" w:hAnsi="Times New Roman"/>
              </w:rPr>
            </w:pPr>
            <w:r>
              <w:rPr>
                <w:rFonts w:hint="eastAsia" w:ascii="Times New Roman" w:hAnsi="Times New Roman"/>
              </w:rPr>
              <w:t>良好的师生关系是教育教学活动顺利进行的重要条件， 也是衡量教师和学生生活质量的重要指标。教师应以学生的发展为主要目的， 以学生为主体， 必须改变原来“ 一言堂”、“满堂灌” 的现象。</w:t>
            </w:r>
          </w:p>
        </w:tc>
      </w:tr>
    </w:tbl>
    <w:p w14:paraId="1CD61DC9"/>
    <w:p w14:paraId="2F472A12"/>
    <w:sectPr>
      <w:pgSz w:w="11906" w:h="16838"/>
      <w:pgMar w:top="567" w:right="567" w:bottom="567" w:left="567" w:header="567" w:footer="567"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auto"/>
    <w:pitch w:val="default"/>
    <w:sig w:usb0="00000000" w:usb1="00000000" w:usb2="00000016" w:usb3="00000000" w:csb0="0004001F" w:csb1="00000000"/>
  </w:font>
  <w:font w:name="微软简老宋">
    <w:altName w:val="汉仪书宋二KW"/>
    <w:panose1 w:val="00000000000000000000"/>
    <w:charset w:val="00"/>
    <w:family w:val="auto"/>
    <w:pitch w:val="default"/>
    <w:sig w:usb0="00000000" w:usb1="00000000" w:usb2="00000000" w:usb3="00000000" w:csb0="00000000" w:csb1="00000000"/>
  </w:font>
  <w:font w:name="华文琥珀">
    <w:altName w:val="宋体-简"/>
    <w:panose1 w:val="02010800040101010101"/>
    <w:charset w:val="86"/>
    <w:family w:val="auto"/>
    <w:pitch w:val="default"/>
    <w:sig w:usb0="00000000" w:usb1="00000000" w:usb2="00000000" w:usb3="00000000" w:csb0="00040000"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儷宋 Pro">
    <w:panose1 w:val="02020300000000000000"/>
    <w:charset w:val="88"/>
    <w:family w:val="auto"/>
    <w:pitch w:val="default"/>
    <w:sig w:usb0="80000001" w:usb1="28091800" w:usb2="00000016" w:usb3="00000000" w:csb0="00100000" w:csb1="00000000"/>
  </w:font>
  <w:font w:name="宋体-简">
    <w:panose1 w:val="02010800040101010101"/>
    <w:charset w:val="86"/>
    <w:family w:val="auto"/>
    <w:pitch w:val="default"/>
    <w:sig w:usb0="00000001" w:usb1="080F0000" w:usb2="00000000" w:usb3="00000000" w:csb0="00040000" w:csb1="00000000"/>
  </w:font>
  <w:font w:name="汉仪旗黑">
    <w:panose1 w:val="00020600040101010101"/>
    <w:charset w:val="86"/>
    <w:family w:val="auto"/>
    <w:pitch w:val="default"/>
    <w:sig w:usb0="A00002BF" w:usb1="1ACF7CFA" w:usb2="00000016" w:usb3="00000000" w:csb0="0004009F" w:csb1="DFD7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4659">
    <w:pPr>
      <w:pStyle w:val="3"/>
    </w:pPr>
    <w:r>
      <w:rPr>
        <w:sz w:val="18"/>
      </w:rPr>
      <mc:AlternateContent>
        <mc:Choice Requires="wps">
          <w:drawing>
            <wp:anchor distT="0" distB="0" distL="114300" distR="114300" simplePos="0" relativeHeight="251662336" behindDoc="0" locked="0" layoutInCell="1" allowOverlap="1">
              <wp:simplePos x="0" y="0"/>
              <wp:positionH relativeFrom="column">
                <wp:posOffset>2927985</wp:posOffset>
              </wp:positionH>
              <wp:positionV relativeFrom="paragraph">
                <wp:posOffset>-3375660</wp:posOffset>
              </wp:positionV>
              <wp:extent cx="1343025" cy="447675"/>
              <wp:effectExtent l="0" t="0" r="9525" b="9525"/>
              <wp:wrapNone/>
              <wp:docPr id="4" name="矩形 4"/>
              <wp:cNvGraphicFramePr/>
              <a:graphic xmlns:a="http://schemas.openxmlformats.org/drawingml/2006/main">
                <a:graphicData uri="http://schemas.microsoft.com/office/word/2010/wordprocessingShape">
                  <wps:wsp>
                    <wps:cNvSpPr/>
                    <wps:spPr>
                      <a:xfrm>
                        <a:off x="3489960" y="6546850"/>
                        <a:ext cx="1343025" cy="447675"/>
                      </a:xfrm>
                      <a:prstGeom prst="rect">
                        <a:avLst/>
                      </a:prstGeom>
                      <a:solidFill>
                        <a:schemeClr val="bg1"/>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30.55pt;margin-top:-265.8pt;height:35.25pt;width:105.75pt;z-index:251662336;v-text-anchor:middle;mso-width-relative:page;mso-height-relative:page;" fillcolor="#FFFFFF [3212]" filled="t" stroked="f" coordsize="21600,21600" o:gfxdata="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eNw4N2wAAAA0BAAAPAAAAAAAAAAEAIAAAACIA&#10;AABkcnMvZG93bnJldi54bWxQSwECFAAUAAAACACHTuJAS0vXEHgCAADXBAAADgAAAAAAAAABACAA&#10;AAAqAQAAZHJzL2Uyb0RvYy54bWxQSwUGAAAAAAYABgBZAQAAFAYAAAAA&#10;">
              <v:fill on="t" focussize="0,0"/>
              <v:stroke on="f" weight="1pt" miterlimit="8" joinstyle="miter"/>
              <v:imagedata o:title=""/>
              <o:lock v:ext="edit" aspectratio="f"/>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C397F">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6253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DF4CF">
    <w:pPr>
      <w:pStyle w:val="4"/>
    </w:pPr>
    <w:r>
      <w:drawing>
        <wp:anchor distT="0" distB="0" distL="114300" distR="114300" simplePos="0" relativeHeight="251659264" behindDoc="0" locked="0" layoutInCell="1" allowOverlap="1">
          <wp:simplePos x="0" y="0"/>
          <wp:positionH relativeFrom="column">
            <wp:posOffset>-1270</wp:posOffset>
          </wp:positionH>
          <wp:positionV relativeFrom="paragraph">
            <wp:posOffset>-55245</wp:posOffset>
          </wp:positionV>
          <wp:extent cx="6659880" cy="9719945"/>
          <wp:effectExtent l="125095" t="150495" r="130175" b="3159760"/>
          <wp:wrapNone/>
          <wp:docPr id="13" name="图片 13" descr="11_01"/>
          <wp:cNvGraphicFramePr/>
          <a:graphic xmlns:a="http://schemas.openxmlformats.org/drawingml/2006/main">
            <a:graphicData uri="http://schemas.openxmlformats.org/drawingml/2006/picture">
              <pic:pic xmlns:pic="http://schemas.openxmlformats.org/drawingml/2006/picture">
                <pic:nvPicPr>
                  <pic:cNvPr id="13" name="图片 13" descr="11_01"/>
                  <pic:cNvPicPr/>
                </pic:nvPicPr>
                <pic:blipFill>
                  <a:blip r:embed="rId1"/>
                  <a:stretch>
                    <a:fillRect/>
                  </a:stretch>
                </pic:blipFill>
                <pic:spPr>
                  <a:xfrm>
                    <a:off x="0" y="0"/>
                    <a:ext cx="6659880" cy="9719945"/>
                  </a:xfrm>
                  <a:prstGeom prst="rect">
                    <a:avLst/>
                  </a:prstGeom>
                  <a:effectLst>
                    <a:outerShdw blurRad="63500" sx="102000" sy="102000" algn="ctr" rotWithShape="0">
                      <a:prstClr val="black">
                        <a:alpha val="40000"/>
                      </a:prstClr>
                    </a:outerShdw>
                    <a:reflection blurRad="6350" stA="15000" endA="300" endPos="35000" dir="5400000" sy="-100000" algn="bl" rotWithShape="0"/>
                  </a:effectLst>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7A733">
    <w:pPr>
      <w:pStyle w:val="4"/>
    </w:pPr>
    <w:r>
      <w:drawing>
        <wp:anchor distT="0" distB="0" distL="114300" distR="114300" simplePos="0" relativeHeight="251660288" behindDoc="0" locked="0" layoutInCell="1" allowOverlap="1">
          <wp:simplePos x="0" y="0"/>
          <wp:positionH relativeFrom="column">
            <wp:posOffset>-1270</wp:posOffset>
          </wp:positionH>
          <wp:positionV relativeFrom="paragraph">
            <wp:posOffset>-55245</wp:posOffset>
          </wp:positionV>
          <wp:extent cx="6659880" cy="9719945"/>
          <wp:effectExtent l="125095" t="150495" r="130175" b="3159760"/>
          <wp:wrapNone/>
          <wp:docPr id="1" name="图片 1" descr="11_01"/>
          <wp:cNvGraphicFramePr/>
          <a:graphic xmlns:a="http://schemas.openxmlformats.org/drawingml/2006/main">
            <a:graphicData uri="http://schemas.openxmlformats.org/drawingml/2006/picture">
              <pic:pic xmlns:pic="http://schemas.openxmlformats.org/drawingml/2006/picture">
                <pic:nvPicPr>
                  <pic:cNvPr id="1" name="图片 1" descr="11_01"/>
                  <pic:cNvPicPr/>
                </pic:nvPicPr>
                <pic:blipFill>
                  <a:blip r:embed="rId1"/>
                  <a:stretch>
                    <a:fillRect/>
                  </a:stretch>
                </pic:blipFill>
                <pic:spPr>
                  <a:xfrm>
                    <a:off x="0" y="0"/>
                    <a:ext cx="6659880" cy="9719945"/>
                  </a:xfrm>
                  <a:prstGeom prst="rect">
                    <a:avLst/>
                  </a:prstGeom>
                  <a:effectLst>
                    <a:outerShdw blurRad="63500" sx="102000" sy="102000" algn="ctr" rotWithShape="0">
                      <a:prstClr val="black">
                        <a:alpha val="40000"/>
                      </a:prstClr>
                    </a:outerShdw>
                    <a:reflection blurRad="6350" stA="15000" endA="300" endPos="35000" dir="5400000" sy="-100000" algn="bl" rotWithShape="0"/>
                  </a:effectLst>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5B17E">
    <w:pPr>
      <w:pStyle w:val="4"/>
      <w:pBdr>
        <w:bottom w:val="none" w:color="auto" w:sz="0" w:space="0"/>
      </w:pBdr>
    </w:pPr>
    <w:r>
      <w:rPr>
        <w:sz w:val="18"/>
      </w:rPr>
      <mc:AlternateContent>
        <mc:Choice Requires="wps">
          <w:drawing>
            <wp:anchor distT="0" distB="0" distL="114300" distR="114300" simplePos="0" relativeHeight="251663360" behindDoc="0" locked="0" layoutInCell="1" allowOverlap="1">
              <wp:simplePos x="0" y="0"/>
              <wp:positionH relativeFrom="column">
                <wp:posOffset>8890</wp:posOffset>
              </wp:positionH>
              <wp:positionV relativeFrom="paragraph">
                <wp:posOffset>-6985</wp:posOffset>
              </wp:positionV>
              <wp:extent cx="6841490" cy="9972040"/>
              <wp:effectExtent l="6350" t="6350" r="10160" b="22860"/>
              <wp:wrapNone/>
              <wp:docPr id="12" name="圆角矩形 12"/>
              <wp:cNvGraphicFramePr/>
              <a:graphic xmlns:a="http://schemas.openxmlformats.org/drawingml/2006/main">
                <a:graphicData uri="http://schemas.microsoft.com/office/word/2010/wordprocessingShape">
                  <wps:wsp>
                    <wps:cNvSpPr/>
                    <wps:spPr>
                      <a:xfrm>
                        <a:off x="0" y="0"/>
                        <a:ext cx="6841490" cy="9972040"/>
                      </a:xfrm>
                      <a:prstGeom prst="roundRect">
                        <a:avLst>
                          <a:gd name="adj" fmla="val 1693"/>
                        </a:avLst>
                      </a:prstGeom>
                      <a:solidFill>
                        <a:schemeClr val="bg1"/>
                      </a:solidFill>
                      <a:ln>
                        <a:gradFill>
                          <a:gsLst>
                            <a:gs pos="100000">
                              <a:srgbClr val="B3CED5"/>
                            </a:gs>
                            <a:gs pos="0">
                              <a:srgbClr val="DDE3D8"/>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7pt;margin-top:-0.55pt;height:785.2pt;width:538.7pt;z-index:251663360;v-text-anchor:middle;mso-width-relative:page;mso-height-relative:page;" fillcolor="#FFFFFF [3212]" filled="t" stroked="t" coordsize="21600,21600" arcsize="0.0169444444444444" o:gfxdata="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E3QcrrYAAAACgEAAA8AAAAAAAAAAQAgAAAAIgAAAGRycy9kb3ducmV2LnhtbFBLAQIUABQAAAAI&#10;AIdO4kBGWCTF0QIAAKcFAAAOAAAAAAAAAAEAIAAAACcBAABkcnMvZTJvRG9jLnhtbFBLBQYAAAAA&#10;BgAGAFkBAABqBgAAAAA=&#10;">
              <v:fill on="t" focussize="0,0"/>
              <v:stroke weight="1pt" color="#000000" miterlimit="8" joinstyle="miter"/>
              <v:imagedata o:title=""/>
              <o:lock v:ext="edit" aspectratio="f"/>
            </v:round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91E6A">
    <w:pPr>
      <w:pStyle w:val="4"/>
      <w:pBdr>
        <w:bottom w:val="none" w:color="auto" w:sz="0" w:space="1"/>
      </w:pBdr>
    </w:pPr>
    <w:r>
      <w:rPr>
        <w:sz w:val="18"/>
      </w:rPr>
      <mc:AlternateContent>
        <mc:Choice Requires="wps">
          <w:drawing>
            <wp:anchor distT="0" distB="0" distL="114300" distR="114300" simplePos="0" relativeHeight="251664384" behindDoc="0" locked="0" layoutInCell="1" allowOverlap="1">
              <wp:simplePos x="0" y="0"/>
              <wp:positionH relativeFrom="column">
                <wp:posOffset>1905</wp:posOffset>
              </wp:positionH>
              <wp:positionV relativeFrom="paragraph">
                <wp:posOffset>-20320</wp:posOffset>
              </wp:positionV>
              <wp:extent cx="6841490" cy="9972040"/>
              <wp:effectExtent l="6350" t="6350" r="10160" b="22860"/>
              <wp:wrapNone/>
              <wp:docPr id="14" name="圆角矩形 14"/>
              <wp:cNvGraphicFramePr/>
              <a:graphic xmlns:a="http://schemas.openxmlformats.org/drawingml/2006/main">
                <a:graphicData uri="http://schemas.microsoft.com/office/word/2010/wordprocessingShape">
                  <wps:wsp>
                    <wps:cNvSpPr/>
                    <wps:spPr>
                      <a:xfrm>
                        <a:off x="0" y="0"/>
                        <a:ext cx="6841490" cy="9972040"/>
                      </a:xfrm>
                      <a:prstGeom prst="roundRect">
                        <a:avLst>
                          <a:gd name="adj" fmla="val 1693"/>
                        </a:avLst>
                      </a:prstGeom>
                      <a:solidFill>
                        <a:schemeClr val="bg1"/>
                      </a:solidFill>
                      <a:ln>
                        <a:gradFill>
                          <a:gsLst>
                            <a:gs pos="100000">
                              <a:srgbClr val="B3CED5"/>
                            </a:gs>
                            <a:gs pos="0">
                              <a:srgbClr val="DDE3D8"/>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15pt;margin-top:-1.6pt;height:785.2pt;width:538.7pt;z-index:251664384;v-text-anchor:middle;mso-width-relative:page;mso-height-relative:page;" fillcolor="#FFFFFF [3212]" filled="t" stroked="t" coordsize="21600,21600" arcsize="0.0169444444444444" o:gfxdata="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">
              <v:fill on="t" focussize="0,0"/>
              <v:stroke weight="1pt" color="#000000" miterlimit="8" joinstyle="miter"/>
              <v:imagedata o:title=""/>
              <o:lock v:ext="edit" aspectratio="f"/>
            </v:round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853D99"/>
    <w:multiLevelType w:val="multilevel"/>
    <w:tmpl w:val="6A853D9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A25437"/>
    <w:rsid w:val="1A5F23BB"/>
    <w:rsid w:val="1AEF4210"/>
    <w:rsid w:val="36DD51EB"/>
    <w:rsid w:val="3F575DE7"/>
    <w:rsid w:val="3F8B79CB"/>
    <w:rsid w:val="54A25437"/>
    <w:rsid w:val="5F4F5BF4"/>
    <w:rsid w:val="5F5B6638"/>
    <w:rsid w:val="78ED93CF"/>
    <w:rsid w:val="D56FBD9A"/>
    <w:rsid w:val="F3FFF982"/>
    <w:rsid w:val="FDFF4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qFormat/>
    <w:uiPriority w:val="0"/>
    <w:pPr>
      <w:spacing w:before="240" w:beforeLines="0" w:beforeAutospacing="0" w:after="60" w:afterLines="0" w:afterAutospacing="0"/>
      <w:jc w:val="center"/>
      <w:outlineLvl w:val="0"/>
    </w:pPr>
    <w:rPr>
      <w:rFonts w:ascii="Arial" w:hAnsi="Arial"/>
      <w:b/>
      <w:sz w:val="32"/>
    </w:rPr>
  </w:style>
  <w:style w:type="table" w:styleId="7">
    <w:name w:val="Table Grid"/>
    <w:basedOn w:val="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习题正文"/>
    <w:basedOn w:val="2"/>
    <w:next w:val="1"/>
    <w:qFormat/>
    <w:uiPriority w:val="0"/>
    <w:pPr>
      <w:adjustRightInd w:val="0"/>
      <w:spacing w:line="240" w:lineRule="auto"/>
      <w:ind w:firstLine="800" w:firstLineChars="200"/>
      <w:jc w:val="both"/>
    </w:pPr>
    <w:rPr>
      <w:rFonts w:hint="eastAsia" w:ascii="微软雅黑" w:hAnsi="微软雅黑" w:eastAsia="宋体" w:cs="微软雅黑"/>
      <w:color w:val="000000"/>
    </w:rPr>
  </w:style>
  <w:style w:type="paragraph" w:customStyle="1" w:styleId="10">
    <w:name w:val="本章学习"/>
    <w:basedOn w:val="5"/>
    <w:next w:val="1"/>
    <w:qFormat/>
    <w:uiPriority w:val="0"/>
    <w:pPr>
      <w:adjustRightInd w:val="0"/>
      <w:spacing w:line="288" w:lineRule="auto"/>
    </w:pPr>
    <w:rPr>
      <w:rFonts w:hint="eastAsia" w:ascii="微软雅黑" w:hAnsi="微软雅黑" w:eastAsia="微软雅黑" w:cs="微软雅黑"/>
      <w:color w:val="000000"/>
      <w:sz w:val="40"/>
    </w:rPr>
  </w:style>
  <w:style w:type="paragraph" w:customStyle="1" w:styleId="11">
    <w:name w:val="Heading #3|1"/>
    <w:basedOn w:val="1"/>
    <w:qFormat/>
    <w:uiPriority w:val="0"/>
    <w:pPr>
      <w:spacing w:after="160"/>
      <w:outlineLvl w:val="2"/>
    </w:pPr>
    <w:rPr>
      <w:rFonts w:ascii="宋体" w:hAnsi="宋体" w:cs="宋体"/>
      <w:color w:val="EC008D"/>
      <w:sz w:val="20"/>
      <w:szCs w:val="20"/>
      <w:lang w:val="zh-TW" w:eastAsia="zh-TW" w:bidi="zh-TW"/>
    </w:r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Body text|1"/>
    <w:basedOn w:val="1"/>
    <w:unhideWhenUsed/>
    <w:qFormat/>
    <w:uiPriority w:val="0"/>
    <w:pPr>
      <w:spacing w:line="360" w:lineRule="auto"/>
      <w:ind w:firstLine="400"/>
    </w:pPr>
    <w:rPr>
      <w:rFonts w:ascii="宋体" w:hAnsi="宋体" w:cs="宋体"/>
      <w:sz w:val="20"/>
      <w:szCs w:val="2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0</Words>
  <Characters>0</Characters>
  <Lines>0</Lines>
  <Paragraphs>0</Paragraphs>
  <TotalTime>64</TotalTime>
  <ScaleCrop>false</ScaleCrop>
  <LinksUpToDate>false</LinksUpToDate>
  <CharactersWithSpaces>0</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2025-07-09T18:53:00Z</dcterms:created>
  <dc:creator>六月</dc:creator>
  <cp:lastModifiedBy>无谓</cp:lastModifiedBy>
  <dcterms:modified xsi:type="dcterms:W3CDTF">2025-07-14T16:46:39Z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3650A8D29E44D4A217CB6C68474BDCAA_43</vt:lpwstr>
  </property>
  <property fmtid="{D5CDD505-2E9C-101B-9397-08002B2CF9AE}" pid="4" name="KSOTemplateDocerSaveRecord">
    <vt:lpwstr>eyJoZGlkIjoiOTcxZjc4Y2ViNTBlZDVmZTI3YTAxZGE1NWVmM2E2NDEiLCJ1c2VySWQiOiI0MDMzMDA2MzYifQ==</vt:lpwstr>
  </property>
</Properties>
</file>