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v:background id="_x0000_s1025">
      <v:fill type="frame" on="t" color2="#FFFFFF" o:title="Abstract white background" focussize="0,0" recolor="t" r:id="rId11"/>
    </v:background>
  </w:background>
  <w:body>
    <w:p w14:paraId="6B8FD70B">
      <w:pPr>
        <w:sectPr>
          <w:headerReference r:id="rId4" w:type="first"/>
          <w:footerReference r:id="rId5" w:type="first"/>
          <w:headerReference r:id="rId3" w:type="default"/>
          <w:pgSz w:w="11906" w:h="16838"/>
          <w:pgMar w:top="720" w:right="720" w:bottom="720" w:left="720" w:header="851" w:footer="850" w:gutter="0"/>
          <w:cols w:space="425" w:num="1"/>
          <w:titlePg/>
          <w:docGrid w:type="lines" w:linePitch="312" w:charSpace="0"/>
        </w:sectPr>
      </w:pPr>
      <w:r>
        <w:rPr>
          <w:sz w:val="21"/>
        </w:rPr>
        <mc:AlternateContent>
          <mc:Choice Requires="wps">
            <w:drawing>
              <wp:anchor distT="0" distB="0" distL="114300" distR="114300" simplePos="0" relativeHeight="251661312" behindDoc="0" locked="0" layoutInCell="1" allowOverlap="1">
                <wp:simplePos x="0" y="0"/>
                <wp:positionH relativeFrom="column">
                  <wp:posOffset>2186305</wp:posOffset>
                </wp:positionH>
                <wp:positionV relativeFrom="paragraph">
                  <wp:posOffset>5650865</wp:posOffset>
                </wp:positionV>
                <wp:extent cx="2258060" cy="7239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258060" cy="7239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8490D4">
                            <w:pPr>
                              <w:jc w:val="right"/>
                              <w:rPr>
                                <w:rFonts w:hint="default"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t>电子教案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72.15pt;margin-top:444.95pt;height:57pt;width:177.8pt;z-index:251661312;v-text-anchor:middle;mso-width-relative:page;mso-height-relative:page;" filled="f" stroked="f" coordsize="21600,21600" o:gfxdata="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RNYtsAAAAMAQAADwAAAAAAAAABACAAAAAiAAAA&#10;ZHJzL2Rvd25yZXYueG1sUEsBAhQAFAAAAAgAh07iQF2agWQ9AgAAaAQAAA4AAAAAAAAAAQAgAAAA&#10;KgEAAGRycy9lMm9Eb2MueG1sUEsFBgAAAAAGAAYAWQEAANkFAAAAAA==&#10;">
                <v:fill on="f" focussize="0,0"/>
                <v:stroke on="f" weight="0.5pt"/>
                <v:imagedata o:title=""/>
                <o:lock v:ext="edit" aspectratio="f"/>
                <v:textbox>
                  <w:txbxContent>
                    <w:p w14:paraId="278490D4">
                      <w:pPr>
                        <w:jc w:val="right"/>
                        <w:rPr>
                          <w:rFonts w:hint="default"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t>电子教案</w:t>
                      </w: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2277110</wp:posOffset>
                </wp:positionH>
                <wp:positionV relativeFrom="paragraph">
                  <wp:posOffset>8003540</wp:posOffset>
                </wp:positionV>
                <wp:extent cx="2076450" cy="438150"/>
                <wp:effectExtent l="0" t="0" r="0" b="0"/>
                <wp:wrapNone/>
                <wp:docPr id="7" name="文本框 7"/>
                <wp:cNvGraphicFramePr/>
                <a:graphic xmlns:a="http://schemas.openxmlformats.org/drawingml/2006/main">
                  <a:graphicData uri="http://schemas.microsoft.com/office/word/2010/wordprocessingShape">
                    <wps:wsp>
                      <wps:cNvSpPr txBox="1"/>
                      <wps:spPr>
                        <a:xfrm>
                          <a:off x="2747010" y="8328025"/>
                          <a:ext cx="2076450" cy="438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F6DC9DE">
                            <w:pPr>
                              <w:jc w:val="cente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t>北京出版社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79.3pt;margin-top:630.2pt;height:34.5pt;width:163.5pt;z-index:251660288;v-text-anchor:middle;mso-width-relative:page;mso-height-relative:page;" fillcolor="#FFFFFF [3201]" filled="t" stroked="f" coordsize="21600,21600" o:gfxdata="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V6gP8&#10;2AAAAA0BAAAPAAAAAAAAAAEAIAAAACIAAABkcnMvZG93bnJldi54bWxQSwECFAAUAAAACACHTuJA&#10;BMkuIFoCAACdBAAADgAAAAAAAAABACAAAAAnAQAAZHJzL2Uyb0RvYy54bWxQSwUGAAAAAAYABgBZ&#10;AQAA8wUAAAAA&#10;">
                <v:fill on="t" focussize="0,0"/>
                <v:stroke on="f" weight="0.5pt"/>
                <v:imagedata o:title=""/>
                <o:lock v:ext="edit" aspectratio="f"/>
                <v:textbox>
                  <w:txbxContent>
                    <w:p w14:paraId="6F6DC9DE">
                      <w:pPr>
                        <w:jc w:val="cente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t>北京出版社</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-15240</wp:posOffset>
                </wp:positionH>
                <wp:positionV relativeFrom="paragraph">
                  <wp:posOffset>3299460</wp:posOffset>
                </wp:positionV>
                <wp:extent cx="6659880" cy="899795"/>
                <wp:effectExtent l="0" t="0" r="7620" b="14605"/>
                <wp:wrapNone/>
                <wp:docPr id="9" name="矩形 9"/>
                <wp:cNvGraphicFramePr/>
                <a:graphic xmlns:a="http://schemas.openxmlformats.org/drawingml/2006/main">
                  <a:graphicData uri="http://schemas.microsoft.com/office/word/2010/wordprocessingShape">
                    <wps:wsp>
                      <wps:cNvSpPr/>
                      <wps:spPr>
                        <a:xfrm>
                          <a:off x="0" y="0"/>
                          <a:ext cx="6659880" cy="899795"/>
                        </a:xfrm>
                        <a:prstGeom prst="rect">
                          <a:avLst/>
                        </a:prstGeom>
                        <a:solidFill>
                          <a:srgbClr val="FDC100">
                            <a:alpha val="2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pt;margin-top:259.8pt;height:70.85pt;width:524.4pt;z-index:251659264;v-text-anchor:middle;mso-width-relative:page;mso-height-relative:page;" fillcolor="#FDC100" filled="t" stroked="f" coordsize="21600,21600" o:gfxdata="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FlBJ23YAAAACwEAAA8AAAAAAAAAAQAgAAAAIgAA&#10;AGRycy9kb3ducmV2LnhtbFBLAQIUABQAAAAIAIdO4kCC7LnhegIAAOwEAAAOAAAAAAAAAAEAIAAA&#10;ACcBAABkcnMvZTJvRG9jLnhtbFBLBQYAAAAABgAGAFkBAAATBgAAAAA=&#10;">
                <v:fill on="t" opacity="13107f" focussize="0,0"/>
                <v:stroke on="f" weight="1pt" miterlimit="8" joinstyle="miter"/>
                <v:imagedata o:title=""/>
                <o:lock v:ext="edit" aspectratio="f"/>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434975</wp:posOffset>
                </wp:positionH>
                <wp:positionV relativeFrom="paragraph">
                  <wp:posOffset>3299460</wp:posOffset>
                </wp:positionV>
                <wp:extent cx="5760085" cy="899795"/>
                <wp:effectExtent l="0" t="0" r="0" b="0"/>
                <wp:wrapNone/>
                <wp:docPr id="6" name="文本框 6"/>
                <wp:cNvGraphicFramePr/>
                <a:graphic xmlns:a="http://schemas.openxmlformats.org/drawingml/2006/main">
                  <a:graphicData uri="http://schemas.microsoft.com/office/word/2010/wordprocessingShape">
                    <wps:wsp>
                      <wps:cNvSpPr txBox="1"/>
                      <wps:spPr>
                        <a:xfrm>
                          <a:off x="0" y="0"/>
                          <a:ext cx="5760085" cy="899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DB3A94">
                            <w:pPr>
                              <w:rPr>
                                <w:rFonts w:hint="eastAsia"/>
                                <w:b/>
                                <w:bCs w:val="0"/>
                                <w:sz w:val="96"/>
                                <w:szCs w:val="96"/>
                                <w:lang w:val="en-US" w:eastAsia="zh-CN"/>
                              </w:rPr>
                            </w:pPr>
                            <w:r>
                              <w:rPr>
                                <w:rFonts w:hint="eastAsia"/>
                                <w:b/>
                                <w:bCs w:val="0"/>
                                <w:sz w:val="96"/>
                                <w:szCs w:val="96"/>
                                <w:lang w:val="en-US" w:eastAsia="zh-CN"/>
                              </w:rPr>
                              <w:t>大学生心理健康教育</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25pt;margin-top:259.8pt;height:70.85pt;width:453.55pt;z-index:251659264;mso-width-relative:page;mso-height-relative:page;" filled="f" stroked="f" coordsize="21600,21600" o:gfxdata="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&#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BsabbAAAACgEAAA8AAAAAAAAAAQAgAAAAIgAAAGRy&#10;cy9kb3ducmV2LnhtbFBLAQIUABQAAAAIAIdO4kCt3xwZOwIAAGYEAAAOAAAAAAAAAAEAIAAAACoB&#10;AABkcnMvZTJvRG9jLnhtbFBLBQYAAAAABgAGAFkBAADXBQAAAAA=&#10;">
                <v:fill on="f" focussize="0,0"/>
                <v:stroke on="f" weight="0.5pt"/>
                <v:imagedata o:title=""/>
                <o:lock v:ext="edit" aspectratio="f"/>
                <v:textbox>
                  <w:txbxContent>
                    <w:p w14:paraId="1DDB3A94">
                      <w:pPr>
                        <w:rPr>
                          <w:rFonts w:hint="eastAsia"/>
                          <w:b/>
                          <w:bCs w:val="0"/>
                          <w:sz w:val="96"/>
                          <w:szCs w:val="96"/>
                          <w:lang w:val="en-US" w:eastAsia="zh-CN"/>
                        </w:rPr>
                      </w:pPr>
                      <w:r>
                        <w:rPr>
                          <w:rFonts w:hint="eastAsia"/>
                          <w:b/>
                          <w:bCs w:val="0"/>
                          <w:sz w:val="96"/>
                          <w:szCs w:val="96"/>
                          <w:lang w:val="en-US" w:eastAsia="zh-CN"/>
                        </w:rPr>
                        <w:t>大学生心理健康教育</w:t>
                      </w:r>
                    </w:p>
                  </w:txbxContent>
                </v:textbox>
              </v:shape>
            </w:pict>
          </mc:Fallback>
        </mc:AlternateContent>
      </w:r>
    </w:p>
    <w:p w14:paraId="341C0E38">
      <w:pPr>
        <w:keepNext/>
        <w:keepLines/>
        <w:spacing w:before="240" w:after="240" w:line="720" w:lineRule="auto"/>
        <w:jc w:val="center"/>
        <w:outlineLvl w:val="0"/>
        <w:rPr>
          <w:rFonts w:ascii="黑体" w:hAnsi="黑体" w:eastAsia="黑体"/>
          <w:b/>
          <w:bCs/>
          <w:kern w:val="44"/>
          <w:sz w:val="36"/>
          <w:szCs w:val="36"/>
        </w:rPr>
      </w:pPr>
      <w:r>
        <w:rPr>
          <w:rFonts w:ascii="黑体" w:hAnsi="黑体" w:eastAsia="黑体"/>
          <w:b/>
          <w:bCs/>
          <w:kern w:val="44"/>
          <w:sz w:val="36"/>
          <w:szCs w:val="36"/>
        </w:rPr>
        <w:t>课时安排</w:t>
      </w:r>
    </w:p>
    <w:tbl>
      <w:tblPr>
        <w:tblStyle w:val="6"/>
        <w:tblW w:w="10205" w:type="dxa"/>
        <w:jc w:val="center"/>
        <w:tblBorders>
          <w:top w:val="double" w:color="3A5E20" w:themeColor="accent4" w:themeShade="7F" w:sz="4" w:space="0"/>
          <w:left w:val="double" w:color="3A5E20" w:themeColor="accent4" w:themeShade="7F" w:sz="4" w:space="0"/>
          <w:bottom w:val="double" w:color="3A5E20" w:themeColor="accent4" w:themeShade="7F" w:sz="4" w:space="0"/>
          <w:right w:val="double" w:color="3A5E20" w:themeColor="accent4" w:themeShade="7F" w:sz="4" w:space="0"/>
          <w:insideH w:val="single" w:color="3A5E20" w:themeColor="accent4" w:themeShade="7F" w:sz="4" w:space="0"/>
          <w:insideV w:val="single" w:color="3A5E20" w:themeColor="accent4" w:themeShade="7F" w:sz="4" w:space="0"/>
        </w:tblBorders>
        <w:tblLayout w:type="autofit"/>
        <w:tblCellMar>
          <w:top w:w="0" w:type="dxa"/>
          <w:left w:w="108" w:type="dxa"/>
          <w:bottom w:w="0" w:type="dxa"/>
          <w:right w:w="108" w:type="dxa"/>
        </w:tblCellMar>
      </w:tblPr>
      <w:tblGrid>
        <w:gridCol w:w="1183"/>
        <w:gridCol w:w="5120"/>
        <w:gridCol w:w="2150"/>
        <w:gridCol w:w="1752"/>
      </w:tblGrid>
      <w:tr w14:paraId="57457DD3">
        <w:trPr>
          <w:cantSplit/>
          <w:trHeight w:val="850" w:hRule="atLeast"/>
          <w:jc w:val="center"/>
        </w:trPr>
        <w:tc>
          <w:tcPr>
            <w:tcW w:w="954" w:type="dxa"/>
            <w:tcBorders>
              <w:tl2br w:val="nil"/>
              <w:tr2bl w:val="nil"/>
            </w:tcBorders>
            <w:shd w:val="clear" w:color="auto" w:fill="C7E4B3" w:themeFill="accent4" w:themeFillTint="66"/>
            <w:vAlign w:val="center"/>
          </w:tcPr>
          <w:p w14:paraId="1FED9E2C">
            <w:pPr>
              <w:spacing w:line="360" w:lineRule="auto"/>
              <w:ind w:leftChars="-8" w:hanging="17" w:hangingChars="7"/>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章节</w:t>
            </w:r>
          </w:p>
        </w:tc>
        <w:tc>
          <w:tcPr>
            <w:tcW w:w="4128" w:type="dxa"/>
            <w:tcBorders>
              <w:tl2br w:val="nil"/>
              <w:tr2bl w:val="nil"/>
            </w:tcBorders>
            <w:shd w:val="clear" w:color="auto" w:fill="C7E4B3" w:themeFill="accent4" w:themeFillTint="66"/>
            <w:vAlign w:val="center"/>
          </w:tcPr>
          <w:p w14:paraId="39F7AED3">
            <w:pPr>
              <w:spacing w:line="360" w:lineRule="auto"/>
              <w:ind w:firstLine="26"/>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课程内容</w:t>
            </w:r>
          </w:p>
        </w:tc>
        <w:tc>
          <w:tcPr>
            <w:tcW w:w="1733" w:type="dxa"/>
            <w:tcBorders>
              <w:tl2br w:val="nil"/>
              <w:tr2bl w:val="nil"/>
            </w:tcBorders>
            <w:shd w:val="clear" w:color="auto" w:fill="C7E4B3" w:themeFill="accent4" w:themeFillTint="66"/>
            <w:vAlign w:val="center"/>
          </w:tcPr>
          <w:p w14:paraId="4B8B02E2">
            <w:pPr>
              <w:spacing w:line="360" w:lineRule="auto"/>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课 时</w:t>
            </w:r>
          </w:p>
        </w:tc>
        <w:tc>
          <w:tcPr>
            <w:tcW w:w="1412" w:type="dxa"/>
            <w:tcBorders>
              <w:tl2br w:val="nil"/>
              <w:tr2bl w:val="nil"/>
            </w:tcBorders>
            <w:shd w:val="clear" w:color="auto" w:fill="C7E4B3" w:themeFill="accent4" w:themeFillTint="66"/>
            <w:vAlign w:val="center"/>
          </w:tcPr>
          <w:p w14:paraId="7705041B">
            <w:pPr>
              <w:spacing w:line="360" w:lineRule="auto"/>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备 注</w:t>
            </w:r>
          </w:p>
        </w:tc>
      </w:tr>
      <w:tr w14:paraId="43FBEF2F">
        <w:trPr>
          <w:trHeight w:val="850" w:hRule="atLeast"/>
          <w:jc w:val="center"/>
        </w:trPr>
        <w:tc>
          <w:tcPr>
            <w:tcW w:w="954" w:type="dxa"/>
            <w:tcBorders>
              <w:tl2br w:val="nil"/>
              <w:tr2bl w:val="nil"/>
            </w:tcBorders>
            <w:shd w:val="clear" w:color="auto" w:fill="auto"/>
            <w:vAlign w:val="center"/>
          </w:tcPr>
          <w:p w14:paraId="6649F03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4128" w:type="dxa"/>
            <w:tcBorders>
              <w:tl2br w:val="nil"/>
              <w:tr2bl w:val="nil"/>
            </w:tcBorders>
            <w:shd w:val="clear" w:color="auto" w:fill="auto"/>
            <w:vAlign w:val="center"/>
          </w:tcPr>
          <w:p w14:paraId="3B9784A1">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大学生心理健康导论</w:t>
            </w:r>
          </w:p>
        </w:tc>
        <w:tc>
          <w:tcPr>
            <w:tcW w:w="1733" w:type="dxa"/>
            <w:tcBorders>
              <w:tl2br w:val="nil"/>
              <w:tr2bl w:val="nil"/>
            </w:tcBorders>
            <w:shd w:val="clear" w:color="auto" w:fill="auto"/>
            <w:vAlign w:val="center"/>
          </w:tcPr>
          <w:p w14:paraId="0B37F85D">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2</w:t>
            </w:r>
          </w:p>
        </w:tc>
        <w:tc>
          <w:tcPr>
            <w:tcW w:w="1412" w:type="dxa"/>
            <w:tcBorders>
              <w:tl2br w:val="nil"/>
              <w:tr2bl w:val="nil"/>
            </w:tcBorders>
            <w:shd w:val="clear" w:color="auto" w:fill="auto"/>
            <w:vAlign w:val="center"/>
          </w:tcPr>
          <w:p w14:paraId="75D739D1">
            <w:pPr>
              <w:spacing w:line="360" w:lineRule="auto"/>
              <w:ind w:firstLine="425"/>
              <w:jc w:val="center"/>
              <w:rPr>
                <w:rFonts w:hint="eastAsia" w:ascii="宋体" w:hAnsi="宋体" w:eastAsia="宋体" w:cs="宋体"/>
                <w:sz w:val="24"/>
                <w:szCs w:val="24"/>
              </w:rPr>
            </w:pPr>
          </w:p>
        </w:tc>
      </w:tr>
      <w:tr w14:paraId="19382045">
        <w:trPr>
          <w:trHeight w:val="850" w:hRule="atLeast"/>
          <w:jc w:val="center"/>
        </w:trPr>
        <w:tc>
          <w:tcPr>
            <w:tcW w:w="954" w:type="dxa"/>
            <w:tcBorders>
              <w:tl2br w:val="nil"/>
              <w:tr2bl w:val="nil"/>
            </w:tcBorders>
            <w:shd w:val="clear" w:color="auto" w:fill="auto"/>
            <w:vAlign w:val="center"/>
          </w:tcPr>
          <w:p w14:paraId="5E9D9E4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4128" w:type="dxa"/>
            <w:tcBorders>
              <w:tl2br w:val="nil"/>
              <w:tr2bl w:val="nil"/>
            </w:tcBorders>
            <w:shd w:val="clear" w:color="auto" w:fill="auto"/>
            <w:vAlign w:val="center"/>
          </w:tcPr>
          <w:p w14:paraId="309051CB">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大学生心理咨询与心理治疗</w:t>
            </w:r>
          </w:p>
        </w:tc>
        <w:tc>
          <w:tcPr>
            <w:tcW w:w="1733" w:type="dxa"/>
            <w:tcBorders>
              <w:tl2br w:val="nil"/>
              <w:tr2bl w:val="nil"/>
            </w:tcBorders>
            <w:shd w:val="clear" w:color="auto" w:fill="auto"/>
            <w:vAlign w:val="center"/>
          </w:tcPr>
          <w:p w14:paraId="4BFC92C3">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3</w:t>
            </w:r>
          </w:p>
        </w:tc>
        <w:tc>
          <w:tcPr>
            <w:tcW w:w="1412" w:type="dxa"/>
            <w:tcBorders>
              <w:tl2br w:val="nil"/>
              <w:tr2bl w:val="nil"/>
            </w:tcBorders>
            <w:shd w:val="clear" w:color="auto" w:fill="auto"/>
            <w:vAlign w:val="center"/>
          </w:tcPr>
          <w:p w14:paraId="6C46B2E9">
            <w:pPr>
              <w:spacing w:line="360" w:lineRule="auto"/>
              <w:ind w:firstLine="425"/>
              <w:jc w:val="center"/>
              <w:rPr>
                <w:rFonts w:hint="eastAsia" w:ascii="宋体" w:hAnsi="宋体" w:eastAsia="宋体" w:cs="宋体"/>
                <w:sz w:val="24"/>
                <w:szCs w:val="24"/>
              </w:rPr>
            </w:pPr>
          </w:p>
        </w:tc>
      </w:tr>
      <w:tr w14:paraId="36067FB2">
        <w:trPr>
          <w:trHeight w:val="850" w:hRule="atLeast"/>
          <w:jc w:val="center"/>
        </w:trPr>
        <w:tc>
          <w:tcPr>
            <w:tcW w:w="954" w:type="dxa"/>
            <w:tcBorders>
              <w:tl2br w:val="nil"/>
              <w:tr2bl w:val="nil"/>
            </w:tcBorders>
            <w:shd w:val="clear" w:color="auto" w:fill="auto"/>
            <w:vAlign w:val="center"/>
          </w:tcPr>
          <w:p w14:paraId="35B311B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4128" w:type="dxa"/>
            <w:tcBorders>
              <w:tl2br w:val="nil"/>
              <w:tr2bl w:val="nil"/>
            </w:tcBorders>
            <w:shd w:val="clear" w:color="auto" w:fill="auto"/>
            <w:vAlign w:val="center"/>
          </w:tcPr>
          <w:p w14:paraId="059089F5">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大学生常见心理困惑与异常心理</w:t>
            </w:r>
          </w:p>
        </w:tc>
        <w:tc>
          <w:tcPr>
            <w:tcW w:w="1733" w:type="dxa"/>
            <w:tcBorders>
              <w:tl2br w:val="nil"/>
              <w:tr2bl w:val="nil"/>
            </w:tcBorders>
            <w:shd w:val="clear" w:color="auto" w:fill="auto"/>
            <w:vAlign w:val="center"/>
          </w:tcPr>
          <w:p w14:paraId="08231BD6">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2</w:t>
            </w:r>
          </w:p>
        </w:tc>
        <w:tc>
          <w:tcPr>
            <w:tcW w:w="1412" w:type="dxa"/>
            <w:tcBorders>
              <w:tl2br w:val="nil"/>
              <w:tr2bl w:val="nil"/>
            </w:tcBorders>
            <w:shd w:val="clear" w:color="auto" w:fill="auto"/>
            <w:vAlign w:val="center"/>
          </w:tcPr>
          <w:p w14:paraId="3D0BE08D">
            <w:pPr>
              <w:spacing w:line="360" w:lineRule="auto"/>
              <w:ind w:firstLine="425"/>
              <w:jc w:val="center"/>
              <w:rPr>
                <w:rFonts w:hint="eastAsia" w:ascii="宋体" w:hAnsi="宋体" w:eastAsia="宋体" w:cs="宋体"/>
                <w:sz w:val="24"/>
                <w:szCs w:val="24"/>
              </w:rPr>
            </w:pPr>
          </w:p>
        </w:tc>
      </w:tr>
      <w:tr w14:paraId="247E5755">
        <w:trPr>
          <w:trHeight w:val="850" w:hRule="atLeast"/>
          <w:jc w:val="center"/>
        </w:trPr>
        <w:tc>
          <w:tcPr>
            <w:tcW w:w="954" w:type="dxa"/>
            <w:tcBorders>
              <w:tl2br w:val="nil"/>
              <w:tr2bl w:val="nil"/>
            </w:tcBorders>
            <w:shd w:val="clear" w:color="auto" w:fill="auto"/>
            <w:vAlign w:val="center"/>
          </w:tcPr>
          <w:p w14:paraId="559FDEE8">
            <w:pPr>
              <w:spacing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4128" w:type="dxa"/>
            <w:tcBorders>
              <w:tl2br w:val="nil"/>
              <w:tr2bl w:val="nil"/>
            </w:tcBorders>
            <w:shd w:val="clear" w:color="auto" w:fill="auto"/>
            <w:vAlign w:val="center"/>
          </w:tcPr>
          <w:p w14:paraId="61D57F4A">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大学生自我意识与培养</w:t>
            </w:r>
          </w:p>
        </w:tc>
        <w:tc>
          <w:tcPr>
            <w:tcW w:w="1733" w:type="dxa"/>
            <w:tcBorders>
              <w:tl2br w:val="nil"/>
              <w:tr2bl w:val="nil"/>
            </w:tcBorders>
            <w:shd w:val="clear" w:color="auto" w:fill="auto"/>
            <w:vAlign w:val="center"/>
          </w:tcPr>
          <w:p w14:paraId="0E1B835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0419FCBA">
            <w:pPr>
              <w:spacing w:line="360" w:lineRule="auto"/>
              <w:ind w:firstLine="425"/>
              <w:jc w:val="center"/>
              <w:rPr>
                <w:rFonts w:hint="eastAsia" w:ascii="宋体" w:hAnsi="宋体" w:eastAsia="宋体" w:cs="宋体"/>
                <w:sz w:val="24"/>
                <w:szCs w:val="24"/>
              </w:rPr>
            </w:pPr>
          </w:p>
        </w:tc>
      </w:tr>
      <w:tr w14:paraId="72D69555">
        <w:trPr>
          <w:trHeight w:val="850" w:hRule="atLeast"/>
          <w:jc w:val="center"/>
        </w:trPr>
        <w:tc>
          <w:tcPr>
            <w:tcW w:w="954" w:type="dxa"/>
            <w:tcBorders>
              <w:tl2br w:val="nil"/>
              <w:tr2bl w:val="nil"/>
            </w:tcBorders>
            <w:shd w:val="clear" w:color="auto" w:fill="auto"/>
            <w:vAlign w:val="center"/>
          </w:tcPr>
          <w:p w14:paraId="22D60CE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4128" w:type="dxa"/>
            <w:tcBorders>
              <w:tl2br w:val="nil"/>
              <w:tr2bl w:val="nil"/>
            </w:tcBorders>
            <w:shd w:val="clear" w:color="auto" w:fill="auto"/>
            <w:vAlign w:val="center"/>
          </w:tcPr>
          <w:p w14:paraId="5BDE5723">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大学生人格发展与培养</w:t>
            </w:r>
          </w:p>
        </w:tc>
        <w:tc>
          <w:tcPr>
            <w:tcW w:w="1733" w:type="dxa"/>
            <w:tcBorders>
              <w:tl2br w:val="nil"/>
              <w:tr2bl w:val="nil"/>
            </w:tcBorders>
            <w:shd w:val="clear" w:color="auto" w:fill="auto"/>
            <w:vAlign w:val="center"/>
          </w:tcPr>
          <w:p w14:paraId="25E2B8C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7351FBD9">
            <w:pPr>
              <w:spacing w:line="360" w:lineRule="auto"/>
              <w:ind w:firstLine="425"/>
              <w:jc w:val="center"/>
              <w:rPr>
                <w:rFonts w:hint="eastAsia" w:ascii="宋体" w:hAnsi="宋体" w:eastAsia="宋体" w:cs="宋体"/>
                <w:sz w:val="24"/>
                <w:szCs w:val="24"/>
              </w:rPr>
            </w:pPr>
          </w:p>
        </w:tc>
      </w:tr>
      <w:tr w14:paraId="48C1D7A8">
        <w:trPr>
          <w:trHeight w:val="850" w:hRule="atLeast"/>
          <w:jc w:val="center"/>
        </w:trPr>
        <w:tc>
          <w:tcPr>
            <w:tcW w:w="954" w:type="dxa"/>
            <w:tcBorders>
              <w:tl2br w:val="nil"/>
              <w:tr2bl w:val="nil"/>
            </w:tcBorders>
            <w:shd w:val="clear" w:color="auto" w:fill="auto"/>
            <w:vAlign w:val="center"/>
          </w:tcPr>
          <w:p w14:paraId="6D8A7B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4128" w:type="dxa"/>
            <w:tcBorders>
              <w:tl2br w:val="nil"/>
              <w:tr2bl w:val="nil"/>
            </w:tcBorders>
            <w:shd w:val="clear" w:color="auto" w:fill="auto"/>
            <w:vAlign w:val="center"/>
          </w:tcPr>
          <w:p w14:paraId="6074B705">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大学生职业生涯规划与择业心理 </w:t>
            </w:r>
          </w:p>
        </w:tc>
        <w:tc>
          <w:tcPr>
            <w:tcW w:w="1733" w:type="dxa"/>
            <w:tcBorders>
              <w:tl2br w:val="nil"/>
              <w:tr2bl w:val="nil"/>
            </w:tcBorders>
            <w:shd w:val="clear" w:color="auto" w:fill="auto"/>
            <w:vAlign w:val="center"/>
          </w:tcPr>
          <w:p w14:paraId="2A6B19A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4CE4B7C8">
            <w:pPr>
              <w:spacing w:line="360" w:lineRule="auto"/>
              <w:ind w:firstLine="425"/>
              <w:jc w:val="center"/>
              <w:rPr>
                <w:rFonts w:hint="eastAsia" w:ascii="宋体" w:hAnsi="宋体" w:eastAsia="宋体" w:cs="宋体"/>
                <w:sz w:val="24"/>
                <w:szCs w:val="24"/>
              </w:rPr>
            </w:pPr>
          </w:p>
        </w:tc>
      </w:tr>
      <w:tr w14:paraId="2C1E77FF">
        <w:trPr>
          <w:trHeight w:val="850" w:hRule="atLeast"/>
          <w:jc w:val="center"/>
        </w:trPr>
        <w:tc>
          <w:tcPr>
            <w:tcW w:w="954" w:type="dxa"/>
            <w:tcBorders>
              <w:tl2br w:val="nil"/>
              <w:tr2bl w:val="nil"/>
            </w:tcBorders>
            <w:shd w:val="clear" w:color="auto" w:fill="auto"/>
            <w:vAlign w:val="center"/>
          </w:tcPr>
          <w:p w14:paraId="611789F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7</w:t>
            </w:r>
          </w:p>
        </w:tc>
        <w:tc>
          <w:tcPr>
            <w:tcW w:w="4128" w:type="dxa"/>
            <w:tcBorders>
              <w:tl2br w:val="nil"/>
              <w:tr2bl w:val="nil"/>
            </w:tcBorders>
            <w:shd w:val="clear" w:color="auto" w:fill="auto"/>
            <w:vAlign w:val="center"/>
          </w:tcPr>
          <w:p w14:paraId="2988A971">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大学生学习心理与创造性思维培养 </w:t>
            </w:r>
          </w:p>
        </w:tc>
        <w:tc>
          <w:tcPr>
            <w:tcW w:w="1733" w:type="dxa"/>
            <w:tcBorders>
              <w:tl2br w:val="nil"/>
              <w:tr2bl w:val="nil"/>
            </w:tcBorders>
            <w:shd w:val="clear" w:color="auto" w:fill="auto"/>
            <w:vAlign w:val="center"/>
          </w:tcPr>
          <w:p w14:paraId="252844E2">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4</w:t>
            </w:r>
          </w:p>
        </w:tc>
        <w:tc>
          <w:tcPr>
            <w:tcW w:w="1412" w:type="dxa"/>
            <w:tcBorders>
              <w:tl2br w:val="nil"/>
              <w:tr2bl w:val="nil"/>
            </w:tcBorders>
            <w:shd w:val="clear" w:color="auto" w:fill="auto"/>
            <w:vAlign w:val="center"/>
          </w:tcPr>
          <w:p w14:paraId="05A76096">
            <w:pPr>
              <w:spacing w:line="360" w:lineRule="auto"/>
              <w:ind w:firstLine="425"/>
              <w:jc w:val="center"/>
              <w:rPr>
                <w:rFonts w:hint="eastAsia" w:ascii="宋体" w:hAnsi="宋体" w:eastAsia="宋体" w:cs="宋体"/>
                <w:sz w:val="24"/>
                <w:szCs w:val="24"/>
              </w:rPr>
            </w:pPr>
          </w:p>
        </w:tc>
      </w:tr>
      <w:tr w14:paraId="200F0F2B">
        <w:trPr>
          <w:trHeight w:val="850" w:hRule="atLeast"/>
          <w:jc w:val="center"/>
        </w:trPr>
        <w:tc>
          <w:tcPr>
            <w:tcW w:w="954" w:type="dxa"/>
            <w:tcBorders>
              <w:tl2br w:val="nil"/>
              <w:tr2bl w:val="nil"/>
            </w:tcBorders>
            <w:shd w:val="clear" w:color="auto" w:fill="auto"/>
            <w:vAlign w:val="center"/>
          </w:tcPr>
          <w:p w14:paraId="0190FD2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8</w:t>
            </w:r>
          </w:p>
        </w:tc>
        <w:tc>
          <w:tcPr>
            <w:tcW w:w="4128" w:type="dxa"/>
            <w:tcBorders>
              <w:tl2br w:val="nil"/>
              <w:tr2bl w:val="nil"/>
            </w:tcBorders>
            <w:shd w:val="clear" w:color="auto" w:fill="auto"/>
            <w:vAlign w:val="center"/>
          </w:tcPr>
          <w:p w14:paraId="4A196BA9">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大学生情绪管理</w:t>
            </w:r>
          </w:p>
        </w:tc>
        <w:tc>
          <w:tcPr>
            <w:tcW w:w="1733" w:type="dxa"/>
            <w:tcBorders>
              <w:tl2br w:val="nil"/>
              <w:tr2bl w:val="nil"/>
            </w:tcBorders>
            <w:shd w:val="clear" w:color="auto" w:fill="auto"/>
            <w:vAlign w:val="center"/>
          </w:tcPr>
          <w:p w14:paraId="4D2A56FD">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4</w:t>
            </w:r>
          </w:p>
        </w:tc>
        <w:tc>
          <w:tcPr>
            <w:tcW w:w="1412" w:type="dxa"/>
            <w:tcBorders>
              <w:tl2br w:val="nil"/>
              <w:tr2bl w:val="nil"/>
            </w:tcBorders>
            <w:shd w:val="clear" w:color="auto" w:fill="auto"/>
            <w:vAlign w:val="center"/>
          </w:tcPr>
          <w:p w14:paraId="2FE338AC">
            <w:pPr>
              <w:spacing w:line="360" w:lineRule="auto"/>
              <w:ind w:firstLine="425"/>
              <w:jc w:val="center"/>
              <w:rPr>
                <w:rFonts w:hint="eastAsia" w:ascii="宋体" w:hAnsi="宋体" w:eastAsia="宋体" w:cs="宋体"/>
                <w:sz w:val="24"/>
                <w:szCs w:val="24"/>
              </w:rPr>
            </w:pPr>
          </w:p>
        </w:tc>
      </w:tr>
      <w:tr w14:paraId="0D3209A5">
        <w:trPr>
          <w:trHeight w:val="850" w:hRule="atLeast"/>
          <w:jc w:val="center"/>
        </w:trPr>
        <w:tc>
          <w:tcPr>
            <w:tcW w:w="954" w:type="dxa"/>
            <w:tcBorders>
              <w:tl2br w:val="nil"/>
              <w:tr2bl w:val="nil"/>
            </w:tcBorders>
            <w:shd w:val="clear" w:color="auto" w:fill="auto"/>
            <w:vAlign w:val="center"/>
          </w:tcPr>
          <w:p w14:paraId="3214818D">
            <w:pPr>
              <w:spacing w:line="360" w:lineRule="auto"/>
              <w:ind w:left="-1" w:leftChars="-8" w:hanging="16" w:hangingChars="7"/>
              <w:jc w:val="center"/>
              <w:rPr>
                <w:rFonts w:hint="eastAsia" w:ascii="宋体" w:hAnsi="宋体" w:eastAsia="宋体" w:cs="宋体"/>
                <w:sz w:val="24"/>
                <w:szCs w:val="24"/>
              </w:rPr>
            </w:pPr>
            <w:r>
              <w:rPr>
                <w:rFonts w:hint="eastAsia" w:ascii="宋体" w:hAnsi="宋体" w:eastAsia="宋体" w:cs="宋体"/>
                <w:sz w:val="24"/>
                <w:szCs w:val="24"/>
              </w:rPr>
              <w:t>9</w:t>
            </w:r>
          </w:p>
        </w:tc>
        <w:tc>
          <w:tcPr>
            <w:tcW w:w="4128" w:type="dxa"/>
            <w:tcBorders>
              <w:tl2br w:val="nil"/>
              <w:tr2bl w:val="nil"/>
            </w:tcBorders>
            <w:shd w:val="clear" w:color="auto" w:fill="auto"/>
            <w:vAlign w:val="center"/>
          </w:tcPr>
          <w:p w14:paraId="36ADBF18">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大学生人际交往</w:t>
            </w:r>
          </w:p>
        </w:tc>
        <w:tc>
          <w:tcPr>
            <w:tcW w:w="1733" w:type="dxa"/>
            <w:tcBorders>
              <w:tl2br w:val="nil"/>
              <w:tr2bl w:val="nil"/>
            </w:tcBorders>
            <w:shd w:val="clear" w:color="auto" w:fill="auto"/>
            <w:vAlign w:val="center"/>
          </w:tcPr>
          <w:p w14:paraId="0C1761E5">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466725D0">
            <w:pPr>
              <w:spacing w:line="360" w:lineRule="auto"/>
              <w:ind w:firstLine="425"/>
              <w:jc w:val="center"/>
              <w:rPr>
                <w:rFonts w:hint="eastAsia" w:ascii="宋体" w:hAnsi="宋体" w:eastAsia="宋体" w:cs="宋体"/>
                <w:sz w:val="24"/>
                <w:szCs w:val="24"/>
              </w:rPr>
            </w:pPr>
          </w:p>
        </w:tc>
      </w:tr>
      <w:tr w14:paraId="1AE3677E">
        <w:trPr>
          <w:trHeight w:val="850" w:hRule="atLeast"/>
          <w:jc w:val="center"/>
        </w:trPr>
        <w:tc>
          <w:tcPr>
            <w:tcW w:w="954" w:type="dxa"/>
            <w:tcBorders>
              <w:tl2br w:val="nil"/>
              <w:tr2bl w:val="nil"/>
            </w:tcBorders>
            <w:shd w:val="clear" w:color="auto" w:fill="auto"/>
            <w:vAlign w:val="center"/>
          </w:tcPr>
          <w:p w14:paraId="074480F3">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4128" w:type="dxa"/>
            <w:tcBorders>
              <w:tl2br w:val="nil"/>
              <w:tr2bl w:val="nil"/>
            </w:tcBorders>
            <w:shd w:val="clear" w:color="auto" w:fill="auto"/>
            <w:vAlign w:val="center"/>
          </w:tcPr>
          <w:p w14:paraId="138A3667">
            <w:pPr>
              <w:spacing w:line="360" w:lineRule="auto"/>
              <w:ind w:firstLine="425"/>
              <w:jc w:val="center"/>
              <w:rPr>
                <w:rFonts w:hint="eastAsia" w:ascii="宋体" w:hAnsi="宋体" w:eastAsia="宋体" w:cs="宋体"/>
                <w:sz w:val="24"/>
                <w:szCs w:val="24"/>
              </w:rPr>
            </w:pPr>
            <w:r>
              <w:rPr>
                <w:rFonts w:hint="eastAsia" w:ascii="宋体" w:hAnsi="宋体" w:eastAsia="宋体" w:cs="宋体"/>
                <w:b/>
                <w:sz w:val="24"/>
                <w:szCs w:val="24"/>
              </w:rPr>
              <w:t>大学生恋爱与性心理</w:t>
            </w:r>
          </w:p>
        </w:tc>
        <w:tc>
          <w:tcPr>
            <w:tcW w:w="1733" w:type="dxa"/>
            <w:tcBorders>
              <w:tl2br w:val="nil"/>
              <w:tr2bl w:val="nil"/>
            </w:tcBorders>
            <w:shd w:val="clear" w:color="auto" w:fill="auto"/>
            <w:vAlign w:val="center"/>
          </w:tcPr>
          <w:p w14:paraId="4DE39E67">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4</w:t>
            </w:r>
          </w:p>
        </w:tc>
        <w:tc>
          <w:tcPr>
            <w:tcW w:w="1412" w:type="dxa"/>
            <w:tcBorders>
              <w:tl2br w:val="nil"/>
              <w:tr2bl w:val="nil"/>
            </w:tcBorders>
            <w:shd w:val="clear" w:color="auto" w:fill="auto"/>
            <w:vAlign w:val="center"/>
          </w:tcPr>
          <w:p w14:paraId="56A06F91">
            <w:pPr>
              <w:spacing w:line="360" w:lineRule="auto"/>
              <w:ind w:firstLine="425"/>
              <w:jc w:val="center"/>
              <w:rPr>
                <w:rFonts w:hint="eastAsia" w:ascii="宋体" w:hAnsi="宋体" w:eastAsia="宋体" w:cs="宋体"/>
                <w:sz w:val="24"/>
                <w:szCs w:val="24"/>
              </w:rPr>
            </w:pPr>
          </w:p>
        </w:tc>
      </w:tr>
      <w:tr w14:paraId="6522634B">
        <w:trPr>
          <w:trHeight w:val="850" w:hRule="atLeast"/>
          <w:jc w:val="center"/>
        </w:trPr>
        <w:tc>
          <w:tcPr>
            <w:tcW w:w="954" w:type="dxa"/>
            <w:tcBorders>
              <w:tl2br w:val="nil"/>
              <w:tr2bl w:val="nil"/>
            </w:tcBorders>
            <w:shd w:val="clear" w:color="auto" w:fill="auto"/>
            <w:vAlign w:val="center"/>
          </w:tcPr>
          <w:p w14:paraId="0740B584">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w:t>
            </w:r>
          </w:p>
        </w:tc>
        <w:tc>
          <w:tcPr>
            <w:tcW w:w="4128" w:type="dxa"/>
            <w:tcBorders>
              <w:tl2br w:val="nil"/>
              <w:tr2bl w:val="nil"/>
            </w:tcBorders>
            <w:shd w:val="clear" w:color="auto" w:fill="auto"/>
            <w:vAlign w:val="center"/>
          </w:tcPr>
          <w:p w14:paraId="70173F80">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大学生压力管理与挫折应对 </w:t>
            </w:r>
          </w:p>
        </w:tc>
        <w:tc>
          <w:tcPr>
            <w:tcW w:w="1733" w:type="dxa"/>
            <w:tcBorders>
              <w:tl2br w:val="nil"/>
              <w:tr2bl w:val="nil"/>
            </w:tcBorders>
            <w:shd w:val="clear" w:color="auto" w:fill="auto"/>
            <w:vAlign w:val="center"/>
          </w:tcPr>
          <w:p w14:paraId="51C1C214">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1E756671">
            <w:pPr>
              <w:spacing w:line="360" w:lineRule="auto"/>
              <w:ind w:firstLine="425"/>
              <w:jc w:val="center"/>
              <w:rPr>
                <w:rFonts w:hint="eastAsia" w:ascii="宋体" w:hAnsi="宋体" w:eastAsia="宋体" w:cs="宋体"/>
                <w:sz w:val="24"/>
                <w:szCs w:val="24"/>
              </w:rPr>
            </w:pPr>
          </w:p>
        </w:tc>
      </w:tr>
      <w:tr w14:paraId="4624209C">
        <w:trPr>
          <w:trHeight w:val="850" w:hRule="atLeast"/>
          <w:jc w:val="center"/>
        </w:trPr>
        <w:tc>
          <w:tcPr>
            <w:tcW w:w="954" w:type="dxa"/>
            <w:tcBorders>
              <w:tl2br w:val="nil"/>
              <w:tr2bl w:val="nil"/>
            </w:tcBorders>
            <w:shd w:val="clear" w:color="auto" w:fill="auto"/>
            <w:vAlign w:val="center"/>
          </w:tcPr>
          <w:p w14:paraId="34454659">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w:t>
            </w:r>
          </w:p>
        </w:tc>
        <w:tc>
          <w:tcPr>
            <w:tcW w:w="4128" w:type="dxa"/>
            <w:tcBorders>
              <w:tl2br w:val="nil"/>
              <w:tr2bl w:val="nil"/>
            </w:tcBorders>
            <w:shd w:val="clear" w:color="auto" w:fill="auto"/>
            <w:vAlign w:val="center"/>
          </w:tcPr>
          <w:p w14:paraId="4259644A">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大学生生命教育与心理危机应对</w:t>
            </w:r>
          </w:p>
        </w:tc>
        <w:tc>
          <w:tcPr>
            <w:tcW w:w="1733" w:type="dxa"/>
            <w:tcBorders>
              <w:tl2br w:val="nil"/>
              <w:tr2bl w:val="nil"/>
            </w:tcBorders>
            <w:shd w:val="clear" w:color="auto" w:fill="auto"/>
            <w:vAlign w:val="center"/>
          </w:tcPr>
          <w:p w14:paraId="1C8AAE1C">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w:t>
            </w:r>
          </w:p>
        </w:tc>
        <w:tc>
          <w:tcPr>
            <w:tcW w:w="1412" w:type="dxa"/>
            <w:tcBorders>
              <w:tl2br w:val="nil"/>
              <w:tr2bl w:val="nil"/>
            </w:tcBorders>
            <w:shd w:val="clear" w:color="auto" w:fill="auto"/>
            <w:vAlign w:val="center"/>
          </w:tcPr>
          <w:p w14:paraId="45EE487E">
            <w:pPr>
              <w:spacing w:line="360" w:lineRule="auto"/>
              <w:ind w:firstLine="425"/>
              <w:jc w:val="center"/>
              <w:rPr>
                <w:rFonts w:hint="eastAsia" w:ascii="宋体" w:hAnsi="宋体" w:eastAsia="宋体" w:cs="宋体"/>
                <w:sz w:val="24"/>
                <w:szCs w:val="24"/>
              </w:rPr>
            </w:pPr>
          </w:p>
        </w:tc>
      </w:tr>
      <w:tr w14:paraId="203C291B">
        <w:trPr>
          <w:trHeight w:val="850" w:hRule="atLeast"/>
          <w:jc w:val="center"/>
        </w:trPr>
        <w:tc>
          <w:tcPr>
            <w:tcW w:w="954" w:type="dxa"/>
            <w:tcBorders>
              <w:tl2br w:val="nil"/>
              <w:tr2bl w:val="nil"/>
            </w:tcBorders>
            <w:shd w:val="clear" w:color="auto" w:fill="auto"/>
            <w:vAlign w:val="center"/>
          </w:tcPr>
          <w:p w14:paraId="4A74A93A">
            <w:pPr>
              <w:spacing w:line="360" w:lineRule="auto"/>
              <w:ind w:left="-1" w:leftChars="-8" w:hanging="16" w:hangingChars="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合计</w:t>
            </w:r>
          </w:p>
        </w:tc>
        <w:tc>
          <w:tcPr>
            <w:tcW w:w="4128" w:type="dxa"/>
            <w:tcBorders>
              <w:tl2br w:val="nil"/>
              <w:tr2bl w:val="nil"/>
            </w:tcBorders>
            <w:shd w:val="clear" w:color="auto" w:fill="auto"/>
            <w:vAlign w:val="center"/>
          </w:tcPr>
          <w:p w14:paraId="469206D4">
            <w:pPr>
              <w:spacing w:line="360" w:lineRule="auto"/>
              <w:ind w:firstLine="425"/>
              <w:jc w:val="center"/>
              <w:rPr>
                <w:rFonts w:hint="eastAsia" w:ascii="宋体" w:hAnsi="宋体" w:eastAsia="宋体" w:cs="宋体"/>
                <w:sz w:val="24"/>
                <w:szCs w:val="24"/>
              </w:rPr>
            </w:pPr>
          </w:p>
        </w:tc>
        <w:tc>
          <w:tcPr>
            <w:tcW w:w="1733" w:type="dxa"/>
            <w:tcBorders>
              <w:tl2br w:val="nil"/>
              <w:tr2bl w:val="nil"/>
            </w:tcBorders>
            <w:shd w:val="clear" w:color="auto" w:fill="auto"/>
            <w:vAlign w:val="center"/>
          </w:tcPr>
          <w:p w14:paraId="7ABFB986">
            <w:pPr>
              <w:spacing w:line="360" w:lineRule="auto"/>
              <w:jc w:val="center"/>
              <w:rPr>
                <w:rFonts w:hint="default" w:ascii="宋体" w:hAnsi="宋体" w:eastAsia="宋体" w:cs="宋体"/>
                <w:b/>
                <w:sz w:val="24"/>
                <w:szCs w:val="24"/>
                <w:lang w:val="en-US" w:eastAsia="zh-CN"/>
              </w:rPr>
            </w:pPr>
            <w:r>
              <w:rPr>
                <w:rFonts w:hint="eastAsia" w:ascii="宋体" w:hAnsi="宋体" w:cs="宋体"/>
                <w:b/>
                <w:sz w:val="24"/>
                <w:szCs w:val="24"/>
                <w:lang w:val="en-US" w:eastAsia="zh-CN"/>
              </w:rPr>
              <w:t>36</w:t>
            </w:r>
          </w:p>
        </w:tc>
        <w:tc>
          <w:tcPr>
            <w:tcW w:w="1412" w:type="dxa"/>
            <w:tcBorders>
              <w:tl2br w:val="nil"/>
              <w:tr2bl w:val="nil"/>
            </w:tcBorders>
            <w:shd w:val="clear" w:color="auto" w:fill="auto"/>
            <w:vAlign w:val="center"/>
          </w:tcPr>
          <w:p w14:paraId="0E8AF763">
            <w:pPr>
              <w:spacing w:line="360" w:lineRule="auto"/>
              <w:ind w:firstLine="425"/>
              <w:jc w:val="center"/>
              <w:rPr>
                <w:rFonts w:hint="eastAsia" w:ascii="宋体" w:hAnsi="宋体" w:eastAsia="宋体" w:cs="宋体"/>
                <w:sz w:val="24"/>
                <w:szCs w:val="24"/>
              </w:rPr>
            </w:pPr>
          </w:p>
        </w:tc>
      </w:tr>
    </w:tbl>
    <w:p w14:paraId="71DE9FC9">
      <w:pPr>
        <w:rPr>
          <w:rFonts w:ascii="华文琥珀" w:hAnsi="Times New Roman" w:eastAsia="华文琥珀"/>
          <w:b/>
          <w:bCs/>
          <w:kern w:val="44"/>
          <w:szCs w:val="21"/>
        </w:rPr>
      </w:pPr>
    </w:p>
    <w:p w14:paraId="5557A290">
      <w:pPr>
        <w:rPr>
          <w:rFonts w:hint="eastAsia"/>
          <w:kern w:val="0"/>
          <w:sz w:val="20"/>
          <w:szCs w:val="20"/>
        </w:rPr>
      </w:pPr>
    </w:p>
    <w:p w14:paraId="3F66BD18">
      <w:pPr>
        <w:rPr>
          <w:rFonts w:hint="eastAsia"/>
          <w:kern w:val="0"/>
          <w:sz w:val="20"/>
          <w:szCs w:val="20"/>
        </w:rPr>
      </w:pPr>
      <w:r>
        <w:rPr>
          <w:rFonts w:hint="eastAsia"/>
          <w:kern w:val="0"/>
          <w:sz w:val="20"/>
          <w:szCs w:val="20"/>
        </w:rPr>
        <w:br w:type="page"/>
      </w:r>
    </w:p>
    <w:tbl>
      <w:tblPr>
        <w:tblStyle w:val="7"/>
        <w:tblW w:w="10205" w:type="dxa"/>
        <w:jc w:val="center"/>
        <w:tblBorders>
          <w:top w:val="double" w:color="3A5E20" w:themeColor="accent4" w:themeShade="7F" w:sz="4" w:space="0"/>
          <w:left w:val="double" w:color="3A5E20" w:themeColor="accent4" w:themeShade="7F" w:sz="4" w:space="0"/>
          <w:bottom w:val="double" w:color="3A5E20" w:themeColor="accent4" w:themeShade="7F" w:sz="4" w:space="0"/>
          <w:right w:val="double" w:color="3A5E20" w:themeColor="accent4" w:themeShade="7F" w:sz="4" w:space="0"/>
          <w:insideH w:val="single" w:color="3A5E20" w:themeColor="accent4" w:themeShade="7F" w:sz="4" w:space="0"/>
          <w:insideV w:val="single" w:color="3A5E20" w:themeColor="accent4" w:themeShade="7F" w:sz="4" w:space="0"/>
        </w:tblBorders>
        <w:tblLayout w:type="autofit"/>
        <w:tblCellMar>
          <w:top w:w="0" w:type="dxa"/>
          <w:left w:w="108" w:type="dxa"/>
          <w:bottom w:w="0" w:type="dxa"/>
          <w:right w:w="108" w:type="dxa"/>
        </w:tblCellMar>
      </w:tblPr>
      <w:tblGrid>
        <w:gridCol w:w="734"/>
        <w:gridCol w:w="1342"/>
        <w:gridCol w:w="4006"/>
        <w:gridCol w:w="4123"/>
      </w:tblGrid>
      <w:tr w14:paraId="2A5F8710">
        <w:trPr>
          <w:trHeight w:val="567" w:hRule="atLeast"/>
          <w:jc w:val="center"/>
        </w:trPr>
        <w:tc>
          <w:tcPr>
            <w:tcW w:w="694" w:type="dxa"/>
            <w:tcBorders>
              <w:tl2br w:val="nil"/>
              <w:tr2bl w:val="nil"/>
            </w:tcBorders>
            <w:shd w:val="clear" w:color="auto" w:fill="C7E4B3" w:themeFill="accent4" w:themeFillTint="66"/>
            <w:vAlign w:val="center"/>
          </w:tcPr>
          <w:p w14:paraId="7A806713">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序号</w:t>
            </w:r>
          </w:p>
        </w:tc>
        <w:tc>
          <w:tcPr>
            <w:tcW w:w="1267" w:type="dxa"/>
            <w:tcBorders>
              <w:tl2br w:val="nil"/>
              <w:tr2bl w:val="nil"/>
            </w:tcBorders>
            <w:shd w:val="clear" w:color="auto" w:fill="C7E4B3" w:themeFill="accent4" w:themeFillTint="66"/>
            <w:vAlign w:val="center"/>
          </w:tcPr>
          <w:p w14:paraId="5054FE00">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课题</w:t>
            </w:r>
          </w:p>
        </w:tc>
        <w:tc>
          <w:tcPr>
            <w:tcW w:w="3783" w:type="dxa"/>
            <w:tcBorders>
              <w:tl2br w:val="nil"/>
              <w:tr2bl w:val="nil"/>
            </w:tcBorders>
            <w:shd w:val="clear" w:color="auto" w:fill="C7E4B3" w:themeFill="accent4" w:themeFillTint="66"/>
            <w:vAlign w:val="center"/>
          </w:tcPr>
          <w:p w14:paraId="4CD5F08D">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知识要求</w:t>
            </w:r>
          </w:p>
        </w:tc>
        <w:tc>
          <w:tcPr>
            <w:tcW w:w="3894" w:type="dxa"/>
            <w:tcBorders>
              <w:tl2br w:val="nil"/>
              <w:tr2bl w:val="nil"/>
            </w:tcBorders>
            <w:shd w:val="clear" w:color="auto" w:fill="C7E4B3" w:themeFill="accent4" w:themeFillTint="66"/>
            <w:vAlign w:val="center"/>
          </w:tcPr>
          <w:p w14:paraId="0E11FD24">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技能要求</w:t>
            </w:r>
          </w:p>
        </w:tc>
      </w:tr>
      <w:tr w14:paraId="63125E26">
        <w:trPr>
          <w:trHeight w:val="567" w:hRule="atLeast"/>
          <w:jc w:val="center"/>
        </w:trPr>
        <w:tc>
          <w:tcPr>
            <w:tcW w:w="694" w:type="dxa"/>
            <w:tcBorders>
              <w:tl2br w:val="nil"/>
              <w:tr2bl w:val="nil"/>
            </w:tcBorders>
            <w:vAlign w:val="center"/>
          </w:tcPr>
          <w:p w14:paraId="6AABDE5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1</w:t>
            </w:r>
          </w:p>
        </w:tc>
        <w:tc>
          <w:tcPr>
            <w:tcW w:w="1267" w:type="dxa"/>
            <w:tcBorders>
              <w:tl2br w:val="nil"/>
              <w:tr2bl w:val="nil"/>
            </w:tcBorders>
            <w:vAlign w:val="center"/>
          </w:tcPr>
          <w:p w14:paraId="26ADE67B">
            <w:pPr>
              <w:keepNext w:val="0"/>
              <w:keepLines w:val="0"/>
              <w:pageBreakBefore w:val="0"/>
              <w:widowControl w:val="0"/>
              <w:kinsoku/>
              <w:wordWrap/>
              <w:overflowPunct/>
              <w:topLinePunct w:val="0"/>
              <w:autoSpaceDE/>
              <w:autoSpaceDN/>
              <w:bidi w:val="0"/>
              <w:adjustRightInd/>
              <w:snapToGrid/>
              <w:spacing w:line="288" w:lineRule="auto"/>
              <w:ind w:left="0" w:leftChars="0"/>
              <w:jc w:val="left"/>
              <w:textAlignment w:val="auto"/>
              <w:rPr>
                <w:rFonts w:ascii="宋体" w:hAnsi="宋体" w:cs="宋体"/>
                <w:color w:val="000000"/>
                <w:kern w:val="0"/>
                <w:sz w:val="21"/>
                <w:szCs w:val="21"/>
              </w:rPr>
            </w:pPr>
            <w:r>
              <w:rPr>
                <w:rFonts w:hint="eastAsia"/>
              </w:rPr>
              <w:t>大学生心理健康导论</w:t>
            </w:r>
            <w:r>
              <w:rPr>
                <w:rFonts w:hint="eastAsia" w:ascii="宋体" w:hAnsi="宋体" w:cs="宋体"/>
                <w:kern w:val="0"/>
                <w:sz w:val="21"/>
                <w:szCs w:val="21"/>
              </w:rPr>
              <w:t> </w:t>
            </w:r>
          </w:p>
        </w:tc>
        <w:tc>
          <w:tcPr>
            <w:tcW w:w="3783" w:type="dxa"/>
            <w:tcBorders>
              <w:tl2br w:val="nil"/>
              <w:tr2bl w:val="nil"/>
            </w:tcBorders>
            <w:vAlign w:val="center"/>
          </w:tcPr>
          <w:p w14:paraId="2FEF080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了解心理活动的表现形式。 </w:t>
            </w:r>
          </w:p>
          <w:p w14:paraId="319864F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明确心理健康的标准和意义。</w:t>
            </w:r>
          </w:p>
        </w:tc>
        <w:tc>
          <w:tcPr>
            <w:tcW w:w="3894" w:type="dxa"/>
            <w:tcBorders>
              <w:tl2br w:val="nil"/>
              <w:tr2bl w:val="nil"/>
            </w:tcBorders>
            <w:vAlign w:val="center"/>
          </w:tcPr>
          <w:p w14:paraId="00F27EC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能够对自身心理健康状况进行正确、客观的认知和评价。</w:t>
            </w:r>
          </w:p>
          <w:p w14:paraId="68A186C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掌握探索自我心理现象的技能，发展心理调适技能及心理发展技能。</w:t>
            </w:r>
          </w:p>
        </w:tc>
      </w:tr>
      <w:tr w14:paraId="7D39C495">
        <w:trPr>
          <w:trHeight w:val="567" w:hRule="atLeast"/>
          <w:jc w:val="center"/>
        </w:trPr>
        <w:tc>
          <w:tcPr>
            <w:tcW w:w="694" w:type="dxa"/>
            <w:tcBorders>
              <w:tl2br w:val="nil"/>
              <w:tr2bl w:val="nil"/>
            </w:tcBorders>
            <w:vAlign w:val="center"/>
          </w:tcPr>
          <w:p w14:paraId="1CDED5D3">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2</w:t>
            </w:r>
          </w:p>
        </w:tc>
        <w:tc>
          <w:tcPr>
            <w:tcW w:w="1267" w:type="dxa"/>
            <w:tcBorders>
              <w:tl2br w:val="nil"/>
              <w:tr2bl w:val="nil"/>
            </w:tcBorders>
            <w:vAlign w:val="center"/>
          </w:tcPr>
          <w:p w14:paraId="65329BA2">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大学生心理咨询与心理治疗</w:t>
            </w:r>
          </w:p>
        </w:tc>
        <w:tc>
          <w:tcPr>
            <w:tcW w:w="3783" w:type="dxa"/>
            <w:tcBorders>
              <w:tl2br w:val="nil"/>
              <w:tr2bl w:val="nil"/>
            </w:tcBorders>
            <w:vAlign w:val="center"/>
          </w:tcPr>
          <w:p w14:paraId="71D7440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了解高校心理咨询、心理治疗的性质、方法。</w:t>
            </w:r>
          </w:p>
          <w:p w14:paraId="39CE162B">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熟悉高校心理咨询的内容。</w:t>
            </w:r>
          </w:p>
        </w:tc>
        <w:tc>
          <w:tcPr>
            <w:tcW w:w="3894" w:type="dxa"/>
            <w:tcBorders>
              <w:tl2br w:val="nil"/>
              <w:tr2bl w:val="nil"/>
            </w:tcBorders>
            <w:vAlign w:val="center"/>
          </w:tcPr>
          <w:p w14:paraId="61A8C7C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熟练应用焦虑自评量表 SAS，并能根据测试结果了解自身焦虑程度。</w:t>
            </w:r>
          </w:p>
        </w:tc>
      </w:tr>
      <w:tr w14:paraId="1186562C">
        <w:trPr>
          <w:trHeight w:val="567" w:hRule="atLeast"/>
          <w:jc w:val="center"/>
        </w:trPr>
        <w:tc>
          <w:tcPr>
            <w:tcW w:w="694" w:type="dxa"/>
            <w:tcBorders>
              <w:tl2br w:val="nil"/>
              <w:tr2bl w:val="nil"/>
            </w:tcBorders>
            <w:vAlign w:val="center"/>
          </w:tcPr>
          <w:p w14:paraId="52605105">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3</w:t>
            </w:r>
          </w:p>
        </w:tc>
        <w:tc>
          <w:tcPr>
            <w:tcW w:w="1267" w:type="dxa"/>
            <w:tcBorders>
              <w:tl2br w:val="nil"/>
              <w:tr2bl w:val="nil"/>
            </w:tcBorders>
            <w:vAlign w:val="center"/>
          </w:tcPr>
          <w:p w14:paraId="1CC74B14">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大学生常见心理困惑与异常心理</w:t>
            </w:r>
          </w:p>
        </w:tc>
        <w:tc>
          <w:tcPr>
            <w:tcW w:w="3783" w:type="dxa"/>
            <w:tcBorders>
              <w:tl2br w:val="nil"/>
              <w:tr2bl w:val="nil"/>
            </w:tcBorders>
            <w:vAlign w:val="center"/>
          </w:tcPr>
          <w:p w14:paraId="60927507">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了解大学生常见心理困惑和心理障碍的分类（CCMD-3）。</w:t>
            </w:r>
          </w:p>
          <w:p w14:paraId="1D33A4E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掌握神经症的概念和共同特征</w:t>
            </w:r>
            <w:r>
              <w:rPr>
                <w:rFonts w:hint="eastAsia" w:ascii="宋体" w:hAnsi="宋体" w:cs="宋体"/>
                <w:kern w:val="0"/>
                <w:sz w:val="21"/>
                <w:szCs w:val="21"/>
                <w:lang w:eastAsia="zh-CN"/>
              </w:rPr>
              <w:t>。</w:t>
            </w:r>
          </w:p>
        </w:tc>
        <w:tc>
          <w:tcPr>
            <w:tcW w:w="3894" w:type="dxa"/>
            <w:tcBorders>
              <w:tl2br w:val="nil"/>
              <w:tr2bl w:val="nil"/>
            </w:tcBorders>
            <w:vAlign w:val="center"/>
          </w:tcPr>
          <w:p w14:paraId="79DBB39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具备识别神经症、抑郁症、精神分裂症、应激相关障碍、人格障碍的能力。</w:t>
            </w:r>
          </w:p>
          <w:p w14:paraId="16FB9392">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p>
        </w:tc>
      </w:tr>
      <w:tr w14:paraId="6B7F360B">
        <w:trPr>
          <w:trHeight w:val="567" w:hRule="atLeast"/>
          <w:jc w:val="center"/>
        </w:trPr>
        <w:tc>
          <w:tcPr>
            <w:tcW w:w="694" w:type="dxa"/>
            <w:tcBorders>
              <w:tl2br w:val="nil"/>
              <w:tr2bl w:val="nil"/>
            </w:tcBorders>
            <w:vAlign w:val="center"/>
          </w:tcPr>
          <w:p w14:paraId="5E62866C">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4</w:t>
            </w:r>
          </w:p>
        </w:tc>
        <w:tc>
          <w:tcPr>
            <w:tcW w:w="1267" w:type="dxa"/>
            <w:tcBorders>
              <w:tl2br w:val="nil"/>
              <w:tr2bl w:val="nil"/>
            </w:tcBorders>
            <w:vAlign w:val="center"/>
          </w:tcPr>
          <w:p w14:paraId="120B6FC7">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大学生自我意识与培养</w:t>
            </w:r>
          </w:p>
        </w:tc>
        <w:tc>
          <w:tcPr>
            <w:tcW w:w="3783" w:type="dxa"/>
            <w:tcBorders>
              <w:tl2br w:val="nil"/>
              <w:tr2bl w:val="nil"/>
            </w:tcBorders>
            <w:vAlign w:val="center"/>
          </w:tcPr>
          <w:p w14:paraId="13DB036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理解自我意识的内涵和结构。</w:t>
            </w:r>
          </w:p>
          <w:p w14:paraId="04F01A64">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明晰自我意识中常见的问题。</w:t>
            </w:r>
          </w:p>
        </w:tc>
        <w:tc>
          <w:tcPr>
            <w:tcW w:w="3894" w:type="dxa"/>
            <w:tcBorders>
              <w:tl2br w:val="nil"/>
              <w:tr2bl w:val="nil"/>
            </w:tcBorders>
            <w:vAlign w:val="center"/>
          </w:tcPr>
          <w:p w14:paraId="19BD18CA">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敢于表达自我，明晰自我形象。</w:t>
            </w:r>
          </w:p>
          <w:p w14:paraId="19D100B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懂得扬长避短，学会悦纳自我。</w:t>
            </w:r>
          </w:p>
        </w:tc>
      </w:tr>
      <w:tr w14:paraId="61BE1EC7">
        <w:trPr>
          <w:trHeight w:val="567" w:hRule="atLeast"/>
          <w:jc w:val="center"/>
        </w:trPr>
        <w:tc>
          <w:tcPr>
            <w:tcW w:w="694" w:type="dxa"/>
            <w:tcBorders>
              <w:tl2br w:val="nil"/>
              <w:tr2bl w:val="nil"/>
            </w:tcBorders>
            <w:vAlign w:val="center"/>
          </w:tcPr>
          <w:p w14:paraId="680C47A4">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5</w:t>
            </w:r>
          </w:p>
        </w:tc>
        <w:tc>
          <w:tcPr>
            <w:tcW w:w="1267" w:type="dxa"/>
            <w:tcBorders>
              <w:tl2br w:val="nil"/>
              <w:tr2bl w:val="nil"/>
            </w:tcBorders>
            <w:vAlign w:val="center"/>
          </w:tcPr>
          <w:p w14:paraId="4341EA2E">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kern w:val="0"/>
                <w:sz w:val="21"/>
                <w:szCs w:val="21"/>
              </w:rPr>
            </w:pPr>
            <w:r>
              <w:rPr>
                <w:rFonts w:hint="eastAsia" w:ascii="宋体" w:hAnsi="宋体" w:cs="宋体"/>
                <w:kern w:val="0"/>
                <w:sz w:val="21"/>
                <w:szCs w:val="21"/>
              </w:rPr>
              <w:t>大学生人格发展与培养</w:t>
            </w:r>
          </w:p>
        </w:tc>
        <w:tc>
          <w:tcPr>
            <w:tcW w:w="3783" w:type="dxa"/>
            <w:tcBorders>
              <w:tl2br w:val="nil"/>
              <w:tr2bl w:val="nil"/>
            </w:tcBorders>
            <w:vAlign w:val="center"/>
          </w:tcPr>
          <w:p w14:paraId="4D302AD3">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了解塑造健康人格的途径和方法。</w:t>
            </w:r>
          </w:p>
          <w:p w14:paraId="070D014B">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eastAsia="宋体" w:cs="宋体"/>
                <w:spacing w:val="20"/>
                <w:kern w:val="0"/>
                <w:sz w:val="21"/>
                <w:szCs w:val="21"/>
              </w:rPr>
              <w:t>熟悉大学生常见人格偏差特征及调适。</w:t>
            </w:r>
          </w:p>
        </w:tc>
        <w:tc>
          <w:tcPr>
            <w:tcW w:w="3894" w:type="dxa"/>
            <w:tcBorders>
              <w:tl2br w:val="nil"/>
              <w:tr2bl w:val="nil"/>
            </w:tcBorders>
            <w:vAlign w:val="center"/>
          </w:tcPr>
          <w:p w14:paraId="4C11A60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eastAsia="宋体" w:cs="宋体"/>
                <w:spacing w:val="20"/>
                <w:kern w:val="0"/>
                <w:sz w:val="21"/>
                <w:szCs w:val="21"/>
              </w:rPr>
            </w:pPr>
            <w:r>
              <w:rPr>
                <w:rFonts w:hint="eastAsia" w:ascii="宋体" w:hAnsi="宋体" w:eastAsia="宋体" w:cs="宋体"/>
                <w:spacing w:val="20"/>
                <w:kern w:val="0"/>
                <w:sz w:val="21"/>
                <w:szCs w:val="21"/>
              </w:rPr>
              <w:t>学会觉察大学生常见的人格发展缺陷。</w:t>
            </w:r>
          </w:p>
          <w:p w14:paraId="4E21BD7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掌握大学生人格完善的途径与方法。</w:t>
            </w:r>
          </w:p>
        </w:tc>
      </w:tr>
      <w:tr w14:paraId="143FBF61">
        <w:trPr>
          <w:trHeight w:val="567" w:hRule="atLeast"/>
          <w:jc w:val="center"/>
        </w:trPr>
        <w:tc>
          <w:tcPr>
            <w:tcW w:w="694" w:type="dxa"/>
            <w:tcBorders>
              <w:tl2br w:val="nil"/>
              <w:tr2bl w:val="nil"/>
            </w:tcBorders>
            <w:vAlign w:val="center"/>
          </w:tcPr>
          <w:p w14:paraId="0449F77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6</w:t>
            </w:r>
          </w:p>
        </w:tc>
        <w:tc>
          <w:tcPr>
            <w:tcW w:w="1267" w:type="dxa"/>
            <w:tcBorders>
              <w:tl2br w:val="nil"/>
              <w:tr2bl w:val="nil"/>
            </w:tcBorders>
            <w:vAlign w:val="center"/>
          </w:tcPr>
          <w:p w14:paraId="11C2617C">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kern w:val="0"/>
                <w:sz w:val="21"/>
                <w:szCs w:val="21"/>
              </w:rPr>
            </w:pPr>
            <w:r>
              <w:rPr>
                <w:rFonts w:hint="eastAsia" w:ascii="宋体" w:hAnsi="宋体" w:cs="宋体"/>
                <w:kern w:val="0"/>
                <w:sz w:val="21"/>
                <w:szCs w:val="21"/>
              </w:rPr>
              <w:t>大学生职业生涯规划与择业心理</w:t>
            </w:r>
          </w:p>
        </w:tc>
        <w:tc>
          <w:tcPr>
            <w:tcW w:w="3783" w:type="dxa"/>
            <w:tcBorders>
              <w:tl2br w:val="nil"/>
              <w:tr2bl w:val="nil"/>
            </w:tcBorders>
            <w:vAlign w:val="center"/>
          </w:tcPr>
          <w:p w14:paraId="0FA19D1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学会并积极给自己的职业生涯做出最优的规划，学会如何去应对职场中可能出现的事件。</w:t>
            </w:r>
          </w:p>
        </w:tc>
        <w:tc>
          <w:tcPr>
            <w:tcW w:w="3894" w:type="dxa"/>
            <w:tcBorders>
              <w:tl2br w:val="nil"/>
              <w:tr2bl w:val="nil"/>
            </w:tcBorders>
            <w:vAlign w:val="center"/>
          </w:tcPr>
          <w:p w14:paraId="064E8E6E">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从自我认知层面上找出自身的优势与劣势，不断提升自身能力，提高适应社会职场的能力。</w:t>
            </w:r>
          </w:p>
        </w:tc>
      </w:tr>
      <w:tr w14:paraId="170B53CF">
        <w:trPr>
          <w:trHeight w:val="567" w:hRule="atLeast"/>
          <w:jc w:val="center"/>
        </w:trPr>
        <w:tc>
          <w:tcPr>
            <w:tcW w:w="694" w:type="dxa"/>
            <w:tcBorders>
              <w:tl2br w:val="nil"/>
              <w:tr2bl w:val="nil"/>
            </w:tcBorders>
            <w:vAlign w:val="center"/>
          </w:tcPr>
          <w:p w14:paraId="134B834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7</w:t>
            </w:r>
          </w:p>
        </w:tc>
        <w:tc>
          <w:tcPr>
            <w:tcW w:w="1267" w:type="dxa"/>
            <w:tcBorders>
              <w:tl2br w:val="nil"/>
              <w:tr2bl w:val="nil"/>
            </w:tcBorders>
            <w:vAlign w:val="center"/>
          </w:tcPr>
          <w:p w14:paraId="09468FF3">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r>
              <w:rPr>
                <w:rFonts w:hint="eastAsia" w:ascii="宋体" w:hAnsi="宋体" w:cs="宋体"/>
                <w:kern w:val="0"/>
                <w:sz w:val="21"/>
                <w:szCs w:val="21"/>
              </w:rPr>
              <w:t>大学生学习心理与创造性思维培养</w:t>
            </w:r>
          </w:p>
        </w:tc>
        <w:tc>
          <w:tcPr>
            <w:tcW w:w="3783" w:type="dxa"/>
            <w:tcBorders>
              <w:tl2br w:val="nil"/>
              <w:tr2bl w:val="nil"/>
            </w:tcBorders>
            <w:vAlign w:val="center"/>
          </w:tcPr>
          <w:p w14:paraId="142C3F0A">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了解大学生学习特点。</w:t>
            </w:r>
          </w:p>
          <w:p w14:paraId="7D54A23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了解影响学习的非智力因素。</w:t>
            </w:r>
          </w:p>
          <w:p w14:paraId="7E8A0BEA">
            <w:pPr>
              <w:keepNext w:val="0"/>
              <w:keepLines w:val="0"/>
              <w:pageBreakBefore w:val="0"/>
              <w:widowControl w:val="0"/>
              <w:numPr>
                <w:ilvl w:val="0"/>
                <w:numId w:val="0"/>
              </w:numPr>
              <w:tabs>
                <w:tab w:val="left" w:pos="252"/>
              </w:tabs>
              <w:kinsoku/>
              <w:wordWrap/>
              <w:overflowPunct/>
              <w:topLinePunct w:val="0"/>
              <w:autoSpaceDE/>
              <w:autoSpaceDN/>
              <w:bidi w:val="0"/>
              <w:adjustRightInd/>
              <w:snapToGrid/>
              <w:spacing w:line="288" w:lineRule="auto"/>
              <w:ind w:left="0" w:leftChars="0"/>
              <w:textAlignment w:val="auto"/>
              <w:rPr>
                <w:rFonts w:ascii="宋体" w:hAnsi="宋体" w:cs="宋体"/>
                <w:color w:val="333333"/>
                <w:kern w:val="0"/>
                <w:sz w:val="21"/>
                <w:szCs w:val="21"/>
              </w:rPr>
            </w:pPr>
          </w:p>
        </w:tc>
        <w:tc>
          <w:tcPr>
            <w:tcW w:w="3894" w:type="dxa"/>
            <w:tcBorders>
              <w:tl2br w:val="nil"/>
              <w:tr2bl w:val="nil"/>
            </w:tcBorders>
            <w:vAlign w:val="center"/>
          </w:tcPr>
          <w:p w14:paraId="74ADD197">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eastAsia="宋体" w:cs="宋体"/>
                <w:spacing w:val="20"/>
                <w:kern w:val="0"/>
                <w:sz w:val="21"/>
                <w:szCs w:val="21"/>
              </w:rPr>
              <w:t>掌握出现学习心理障碍时的调适方法。</w:t>
            </w:r>
          </w:p>
        </w:tc>
      </w:tr>
      <w:tr w14:paraId="4B0443AA">
        <w:trPr>
          <w:trHeight w:val="567" w:hRule="atLeast"/>
          <w:jc w:val="center"/>
        </w:trPr>
        <w:tc>
          <w:tcPr>
            <w:tcW w:w="694" w:type="dxa"/>
            <w:tcBorders>
              <w:tl2br w:val="nil"/>
              <w:tr2bl w:val="nil"/>
            </w:tcBorders>
            <w:vAlign w:val="center"/>
          </w:tcPr>
          <w:p w14:paraId="7E14898B">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8</w:t>
            </w:r>
          </w:p>
        </w:tc>
        <w:tc>
          <w:tcPr>
            <w:tcW w:w="1267" w:type="dxa"/>
            <w:tcBorders>
              <w:tl2br w:val="nil"/>
              <w:tr2bl w:val="nil"/>
            </w:tcBorders>
            <w:vAlign w:val="center"/>
          </w:tcPr>
          <w:p w14:paraId="1974465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r>
              <w:rPr>
                <w:rFonts w:hint="eastAsia" w:ascii="宋体" w:hAnsi="宋体" w:cs="宋体"/>
                <w:kern w:val="0"/>
                <w:sz w:val="21"/>
                <w:szCs w:val="21"/>
              </w:rPr>
              <w:t>大学生情绪管理</w:t>
            </w:r>
          </w:p>
        </w:tc>
        <w:tc>
          <w:tcPr>
            <w:tcW w:w="3783" w:type="dxa"/>
            <w:tcBorders>
              <w:tl2br w:val="nil"/>
              <w:tr2bl w:val="nil"/>
            </w:tcBorders>
            <w:vAlign w:val="center"/>
          </w:tcPr>
          <w:p w14:paraId="11C40E3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了解情绪对学习、生活、人际交往、认知行为和身心健康的影响。</w:t>
            </w:r>
          </w:p>
          <w:p w14:paraId="68AFF605">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了解大学生情绪管理的重要性。</w:t>
            </w:r>
          </w:p>
        </w:tc>
        <w:tc>
          <w:tcPr>
            <w:tcW w:w="3894" w:type="dxa"/>
            <w:tcBorders>
              <w:tl2br w:val="nil"/>
              <w:tr2bl w:val="nil"/>
            </w:tcBorders>
            <w:vAlign w:val="center"/>
          </w:tcPr>
          <w:p w14:paraId="0714F52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熟练掌握情绪健康标准并以此标准控制不良情绪。</w:t>
            </w:r>
          </w:p>
        </w:tc>
      </w:tr>
      <w:tr w14:paraId="174D6EE5">
        <w:trPr>
          <w:trHeight w:val="567" w:hRule="atLeast"/>
          <w:jc w:val="center"/>
        </w:trPr>
        <w:tc>
          <w:tcPr>
            <w:tcW w:w="694" w:type="dxa"/>
            <w:tcBorders>
              <w:tl2br w:val="nil"/>
              <w:tr2bl w:val="nil"/>
            </w:tcBorders>
            <w:vAlign w:val="center"/>
          </w:tcPr>
          <w:p w14:paraId="4A1561A2">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9</w:t>
            </w:r>
          </w:p>
        </w:tc>
        <w:tc>
          <w:tcPr>
            <w:tcW w:w="1267" w:type="dxa"/>
            <w:tcBorders>
              <w:tl2br w:val="nil"/>
              <w:tr2bl w:val="nil"/>
            </w:tcBorders>
            <w:vAlign w:val="center"/>
          </w:tcPr>
          <w:p w14:paraId="372AF405">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color w:val="000000"/>
                <w:kern w:val="0"/>
                <w:sz w:val="21"/>
                <w:szCs w:val="21"/>
              </w:rPr>
            </w:pPr>
            <w:r>
              <w:rPr>
                <w:rFonts w:hint="eastAsia" w:ascii="宋体" w:hAnsi="宋体" w:cs="宋体"/>
                <w:kern w:val="0"/>
                <w:sz w:val="21"/>
                <w:szCs w:val="21"/>
              </w:rPr>
              <w:t>大学生人际交往</w:t>
            </w:r>
          </w:p>
        </w:tc>
        <w:tc>
          <w:tcPr>
            <w:tcW w:w="3783" w:type="dxa"/>
            <w:tcBorders>
              <w:tl2br w:val="nil"/>
              <w:tr2bl w:val="nil"/>
            </w:tcBorders>
            <w:vAlign w:val="center"/>
          </w:tcPr>
          <w:p w14:paraId="2ABB77A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eastAsia="宋体" w:cs="宋体"/>
                <w:kern w:val="0"/>
                <w:sz w:val="21"/>
                <w:szCs w:val="21"/>
                <w:lang w:eastAsia="zh-CN"/>
              </w:rPr>
            </w:pPr>
            <w:r>
              <w:rPr>
                <w:rFonts w:hint="eastAsia" w:ascii="宋体" w:hAnsi="宋体" w:cs="宋体"/>
                <w:kern w:val="0"/>
                <w:sz w:val="21"/>
                <w:szCs w:val="21"/>
              </w:rPr>
              <w:t>●了解大学生人际交往的特点。</w:t>
            </w:r>
          </w:p>
          <w:p w14:paraId="7BF4876C">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●了解人际交往障碍产生的一般原因。</w:t>
            </w:r>
          </w:p>
        </w:tc>
        <w:tc>
          <w:tcPr>
            <w:tcW w:w="3894" w:type="dxa"/>
            <w:tcBorders>
              <w:tl2br w:val="nil"/>
              <w:tr2bl w:val="nil"/>
            </w:tcBorders>
            <w:vAlign w:val="center"/>
          </w:tcPr>
          <w:p w14:paraId="13957750">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掌握人际交往的一般原则和技巧，并能灵活应用到生活、工作当中。</w:t>
            </w:r>
          </w:p>
        </w:tc>
      </w:tr>
      <w:tr w14:paraId="2824A002">
        <w:trPr>
          <w:trHeight w:val="567" w:hRule="atLeast"/>
          <w:jc w:val="center"/>
        </w:trPr>
        <w:tc>
          <w:tcPr>
            <w:tcW w:w="694" w:type="dxa"/>
            <w:tcBorders>
              <w:tl2br w:val="nil"/>
              <w:tr2bl w:val="nil"/>
            </w:tcBorders>
            <w:vAlign w:val="center"/>
          </w:tcPr>
          <w:p w14:paraId="0C64A2DC">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10</w:t>
            </w:r>
          </w:p>
        </w:tc>
        <w:tc>
          <w:tcPr>
            <w:tcW w:w="1267" w:type="dxa"/>
            <w:tcBorders>
              <w:tl2br w:val="nil"/>
              <w:tr2bl w:val="nil"/>
            </w:tcBorders>
            <w:vAlign w:val="center"/>
          </w:tcPr>
          <w:p w14:paraId="61806A1E">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大学生恋爱与性心理问题管理</w:t>
            </w:r>
          </w:p>
        </w:tc>
        <w:tc>
          <w:tcPr>
            <w:tcW w:w="3783" w:type="dxa"/>
            <w:tcBorders>
              <w:tl2br w:val="nil"/>
              <w:tr2bl w:val="nil"/>
            </w:tcBorders>
            <w:vAlign w:val="center"/>
          </w:tcPr>
          <w:p w14:paraId="33B78742">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●了解什么是爱情及爱情的特征。</w:t>
            </w:r>
          </w:p>
        </w:tc>
        <w:tc>
          <w:tcPr>
            <w:tcW w:w="3894" w:type="dxa"/>
            <w:tcBorders>
              <w:tl2br w:val="nil"/>
              <w:tr2bl w:val="nil"/>
            </w:tcBorders>
            <w:vAlign w:val="center"/>
          </w:tcPr>
          <w:p w14:paraId="2194C35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spacing w:val="23"/>
                <w:kern w:val="0"/>
                <w:sz w:val="21"/>
                <w:szCs w:val="21"/>
              </w:rPr>
              <w:t>提高恋爱中常见的心理问题的调适能力。</w:t>
            </w:r>
          </w:p>
        </w:tc>
      </w:tr>
      <w:tr w14:paraId="00E4C6A7">
        <w:trPr>
          <w:trHeight w:val="567" w:hRule="atLeast"/>
          <w:jc w:val="center"/>
        </w:trPr>
        <w:tc>
          <w:tcPr>
            <w:tcW w:w="694" w:type="dxa"/>
            <w:tcBorders>
              <w:tl2br w:val="nil"/>
              <w:tr2bl w:val="nil"/>
            </w:tcBorders>
            <w:vAlign w:val="center"/>
          </w:tcPr>
          <w:p w14:paraId="33381F3A">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11</w:t>
            </w:r>
          </w:p>
        </w:tc>
        <w:tc>
          <w:tcPr>
            <w:tcW w:w="1267" w:type="dxa"/>
            <w:tcBorders>
              <w:tl2br w:val="nil"/>
              <w:tr2bl w:val="nil"/>
            </w:tcBorders>
            <w:vAlign w:val="center"/>
          </w:tcPr>
          <w:p w14:paraId="2A2812A8">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大学生压力管理与挫折应对</w:t>
            </w:r>
          </w:p>
        </w:tc>
        <w:tc>
          <w:tcPr>
            <w:tcW w:w="3783" w:type="dxa"/>
            <w:tcBorders>
              <w:tl2br w:val="nil"/>
              <w:tr2bl w:val="nil"/>
            </w:tcBorders>
            <w:vAlign w:val="center"/>
          </w:tcPr>
          <w:p w14:paraId="3CCFA86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●掌握挫折与压力的含义。</w:t>
            </w:r>
          </w:p>
          <w:p w14:paraId="422800D4">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●理解大学生挫折表现与压力现状。</w:t>
            </w:r>
          </w:p>
        </w:tc>
        <w:tc>
          <w:tcPr>
            <w:tcW w:w="3894" w:type="dxa"/>
            <w:tcBorders>
              <w:tl2br w:val="nil"/>
              <w:tr2bl w:val="nil"/>
            </w:tcBorders>
            <w:vAlign w:val="center"/>
          </w:tcPr>
          <w:p w14:paraId="4B00F99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spacing w:val="20"/>
                <w:kern w:val="0"/>
                <w:sz w:val="21"/>
                <w:szCs w:val="21"/>
              </w:rPr>
              <w:t>培养学生认识和应对挫折与压力的能力。</w:t>
            </w:r>
          </w:p>
        </w:tc>
      </w:tr>
      <w:tr w14:paraId="60EA8C47">
        <w:trPr>
          <w:trHeight w:val="567" w:hRule="atLeast"/>
          <w:jc w:val="center"/>
        </w:trPr>
        <w:tc>
          <w:tcPr>
            <w:tcW w:w="694" w:type="dxa"/>
            <w:tcBorders>
              <w:tl2br w:val="nil"/>
              <w:tr2bl w:val="nil"/>
            </w:tcBorders>
            <w:vAlign w:val="center"/>
          </w:tcPr>
          <w:p w14:paraId="451C0086">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12</w:t>
            </w:r>
          </w:p>
        </w:tc>
        <w:tc>
          <w:tcPr>
            <w:tcW w:w="1267" w:type="dxa"/>
            <w:tcBorders>
              <w:tl2br w:val="nil"/>
              <w:tr2bl w:val="nil"/>
            </w:tcBorders>
            <w:vAlign w:val="center"/>
          </w:tcPr>
          <w:p w14:paraId="24F9644C">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大学生生命教育与心理危机应对</w:t>
            </w:r>
          </w:p>
        </w:tc>
        <w:tc>
          <w:tcPr>
            <w:tcW w:w="3783" w:type="dxa"/>
            <w:tcBorders>
              <w:tl2br w:val="nil"/>
              <w:tr2bl w:val="nil"/>
            </w:tcBorders>
            <w:vAlign w:val="center"/>
          </w:tcPr>
          <w:p w14:paraId="751F0C11">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●让学生明白生命的意义，珍爱生命。</w:t>
            </w:r>
          </w:p>
          <w:p w14:paraId="33F93730">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●大学生学会并积极干预心理危机，保持心理健康。</w:t>
            </w:r>
          </w:p>
        </w:tc>
        <w:tc>
          <w:tcPr>
            <w:tcW w:w="3894" w:type="dxa"/>
            <w:tcBorders>
              <w:tl2br w:val="nil"/>
              <w:tr2bl w:val="nil"/>
            </w:tcBorders>
            <w:vAlign w:val="center"/>
          </w:tcPr>
          <w:p w14:paraId="1AB80113">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kern w:val="0"/>
                <w:sz w:val="21"/>
                <w:szCs w:val="21"/>
              </w:rPr>
              <w:t>提升受挫能力和情绪调节能力。</w:t>
            </w:r>
          </w:p>
          <w:p w14:paraId="52BE187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kern w:val="0"/>
                <w:sz w:val="21"/>
                <w:szCs w:val="21"/>
              </w:rPr>
              <w:t>获得自我成长、自我认同的能力。</w:t>
            </w:r>
          </w:p>
        </w:tc>
      </w:tr>
    </w:tbl>
    <w:p w14:paraId="2962B863">
      <w:pPr>
        <w:keepNext w:val="0"/>
        <w:keepLines w:val="0"/>
        <w:pageBreakBefore w:val="0"/>
        <w:widowControl w:val="0"/>
        <w:kinsoku/>
        <w:wordWrap/>
        <w:overflowPunct/>
        <w:topLinePunct w:val="0"/>
        <w:autoSpaceDE/>
        <w:autoSpaceDN/>
        <w:bidi w:val="0"/>
        <w:adjustRightInd/>
        <w:snapToGrid/>
        <w:spacing w:line="240" w:lineRule="auto"/>
        <w:ind w:left="0" w:leftChars="0" w:firstLine="2523" w:firstLineChars="1200"/>
        <w:textAlignment w:val="auto"/>
        <w:rPr>
          <w:rFonts w:ascii="Times New Roman" w:hAnsi="Times New Roman"/>
          <w:b/>
          <w:bCs/>
          <w:kern w:val="44"/>
          <w:sz w:val="21"/>
          <w:szCs w:val="21"/>
        </w:rPr>
        <w:sectPr>
          <w:headerReference r:id="rId7" w:type="first"/>
          <w:footerReference r:id="rId9" w:type="first"/>
          <w:headerReference r:id="rId6" w:type="default"/>
          <w:footerReference r:id="rId8" w:type="default"/>
          <w:pgSz w:w="11906" w:h="16838"/>
          <w:pgMar w:top="567" w:right="567" w:bottom="567" w:left="567" w:header="567" w:footer="567" w:gutter="0"/>
          <w:pgBorders>
            <w:top w:val="none" w:sz="0" w:space="0"/>
            <w:left w:val="none" w:sz="0" w:space="0"/>
            <w:bottom w:val="none" w:sz="0" w:space="0"/>
            <w:right w:val="none" w:sz="0" w:space="0"/>
          </w:pgBorders>
          <w:cols w:space="720" w:num="1"/>
          <w:titlePg/>
          <w:docGrid w:type="lines" w:linePitch="312" w:charSpace="0"/>
        </w:sectPr>
      </w:pPr>
    </w:p>
    <w:p w14:paraId="216AF25E">
      <w:pPr>
        <w:keepNext/>
        <w:keepLines/>
        <w:pageBreakBefore w:val="0"/>
        <w:widowControl w:val="0"/>
        <w:kinsoku/>
        <w:wordWrap/>
        <w:overflowPunct/>
        <w:topLinePunct w:val="0"/>
        <w:autoSpaceDE/>
        <w:autoSpaceDN/>
        <w:bidi w:val="0"/>
        <w:adjustRightInd/>
        <w:snapToGrid/>
        <w:spacing w:after="157" w:afterLines="50" w:line="360" w:lineRule="auto"/>
        <w:jc w:val="center"/>
        <w:textAlignment w:val="auto"/>
        <w:outlineLvl w:val="1"/>
        <w:rPr>
          <w:rFonts w:hint="eastAsia" w:ascii="黑体" w:hAnsi="黑体" w:eastAsia="黑体" w:cs="黑体"/>
          <w:b/>
          <w:bCs/>
          <w:color w:val="843F0B" w:themeColor="accent2" w:themeShade="80"/>
          <w:sz w:val="32"/>
          <w:szCs w:val="32"/>
        </w:rPr>
      </w:pPr>
      <w:r>
        <w:rPr>
          <w:rFonts w:hint="eastAsia" w:ascii="黑体" w:hAnsi="黑体" w:eastAsia="黑体" w:cs="黑体"/>
          <w:b/>
          <w:bCs/>
          <w:color w:val="843F0B" w:themeColor="accent2" w:themeShade="80"/>
          <w:sz w:val="32"/>
          <w:szCs w:val="32"/>
        </w:rPr>
        <w:t>第</w:t>
      </w:r>
      <w:r>
        <w:rPr>
          <w:rFonts w:hint="eastAsia" w:ascii="黑体" w:hAnsi="黑体" w:eastAsia="黑体" w:cs="黑体"/>
          <w:b/>
          <w:bCs/>
          <w:color w:val="843F0B" w:themeColor="accent2" w:themeShade="80"/>
          <w:sz w:val="32"/>
          <w:szCs w:val="32"/>
          <w:lang w:val="en-US" w:eastAsia="zh-CN"/>
        </w:rPr>
        <w:t>11</w:t>
      </w:r>
      <w:r>
        <w:rPr>
          <w:rFonts w:hint="eastAsia" w:ascii="黑体" w:hAnsi="黑体" w:eastAsia="黑体" w:cs="黑体"/>
          <w:b/>
          <w:bCs/>
          <w:color w:val="843F0B" w:themeColor="accent2" w:themeShade="80"/>
          <w:sz w:val="32"/>
          <w:szCs w:val="32"/>
        </w:rPr>
        <w:t>课  大学生压力管理与挫折应对</w:t>
      </w:r>
    </w:p>
    <w:tbl>
      <w:tblPr>
        <w:tblStyle w:val="6"/>
        <w:tblW w:w="10205" w:type="dxa"/>
        <w:jc w:val="center"/>
        <w:tblBorders>
          <w:top w:val="double" w:color="833F0A" w:themeColor="accent2" w:themeShade="7F" w:sz="4" w:space="0"/>
          <w:left w:val="double" w:color="833F0A" w:themeColor="accent2" w:themeShade="7F" w:sz="4" w:space="0"/>
          <w:bottom w:val="double" w:color="833F0A" w:themeColor="accent2" w:themeShade="7F" w:sz="4" w:space="0"/>
          <w:right w:val="double" w:color="833F0A" w:themeColor="accent2" w:themeShade="7F" w:sz="4" w:space="0"/>
          <w:insideH w:val="single" w:color="833F0A" w:themeColor="accent2" w:themeShade="7F" w:sz="4" w:space="0"/>
          <w:insideV w:val="single" w:color="833F0A" w:themeColor="accent2" w:themeShade="7F" w:sz="4" w:space="0"/>
        </w:tblBorders>
        <w:tblLayout w:type="fixed"/>
        <w:tblCellMar>
          <w:top w:w="0" w:type="dxa"/>
          <w:left w:w="108" w:type="dxa"/>
          <w:bottom w:w="0" w:type="dxa"/>
          <w:right w:w="108" w:type="dxa"/>
        </w:tblCellMar>
      </w:tblPr>
      <w:tblGrid>
        <w:gridCol w:w="1538"/>
        <w:gridCol w:w="7050"/>
        <w:gridCol w:w="1617"/>
      </w:tblGrid>
      <w:tr w14:paraId="6D9CDE80">
        <w:trPr>
          <w:trHeight w:val="567" w:hRule="atLeast"/>
          <w:jc w:val="center"/>
        </w:trPr>
        <w:tc>
          <w:tcPr>
            <w:tcW w:w="1538" w:type="dxa"/>
            <w:tcBorders>
              <w:bottom w:val="dashSmallGap" w:color="ACD78D" w:themeColor="accent4" w:themeTint="99" w:sz="4" w:space="0"/>
              <w:right w:val="dashSmallGap" w:color="ACD78D" w:themeColor="accent4" w:themeTint="99" w:sz="4" w:space="0"/>
            </w:tcBorders>
            <w:shd w:val="clear" w:color="auto" w:fill="E3F2D9" w:themeFill="accent4" w:themeFillTint="32"/>
            <w:vAlign w:val="center"/>
          </w:tcPr>
          <w:p w14:paraId="5E681B9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3B5F21" w:themeColor="accent4" w:themeShade="80"/>
                <w:szCs w:val="20"/>
              </w:rPr>
            </w:pPr>
            <w:r>
              <w:rPr>
                <w:rFonts w:hint="eastAsia" w:ascii="黑体" w:hAnsi="黑体" w:eastAsia="黑体" w:cs="黑体"/>
                <w:b/>
                <w:bCs w:val="0"/>
                <w:color w:val="588E32" w:themeColor="accent4" w:themeShade="BF"/>
                <w:szCs w:val="20"/>
                <w14:textFill>
                  <w14:solidFill>
                    <w14:schemeClr w14:val="accent4">
                      <w14:lumMod w14:val="75000"/>
                      <w14:alpha w14:val="0"/>
                    </w14:schemeClr>
                  </w14:solidFill>
                </w14:textFill>
              </w:rPr>
              <w:t>课  题</w:t>
            </w:r>
          </w:p>
        </w:tc>
        <w:tc>
          <w:tcPr>
            <w:tcW w:w="8667" w:type="dxa"/>
            <w:gridSpan w:val="2"/>
            <w:tcBorders>
              <w:left w:val="dashSmallGap" w:color="ACD78D" w:themeColor="accent4" w:themeTint="99" w:sz="4" w:space="0"/>
              <w:bottom w:val="dashSmallGap" w:color="ACD78D" w:themeColor="accent4" w:themeTint="99" w:sz="4" w:space="0"/>
            </w:tcBorders>
            <w:shd w:val="clear" w:color="auto" w:fill="FFFFF1"/>
            <w:vAlign w:val="center"/>
          </w:tcPr>
          <w:p w14:paraId="38E205C2">
            <w:pPr>
              <w:spacing w:line="360" w:lineRule="auto"/>
              <w:ind w:hanging="8"/>
              <w:rPr>
                <w:rFonts w:ascii="Times New Roman" w:hAnsi="Times New Roman"/>
                <w:szCs w:val="20"/>
              </w:rPr>
            </w:pPr>
            <w:r>
              <w:rPr>
                <w:rFonts w:hint="eastAsia" w:ascii="Times New Roman" w:hAnsi="宋体"/>
                <w:szCs w:val="20"/>
              </w:rPr>
              <w:t>大学生压力管理与挫折应对</w:t>
            </w:r>
          </w:p>
        </w:tc>
      </w:tr>
      <w:tr w14:paraId="0174A0D2">
        <w:trPr>
          <w:trHeight w:val="567" w:hRule="atLeast"/>
          <w:jc w:val="center"/>
        </w:trPr>
        <w:tc>
          <w:tcPr>
            <w:tcW w:w="1538" w:type="dxa"/>
            <w:tcBorders>
              <w:top w:val="dashSmallGap" w:color="ACD78D" w:themeColor="accent4" w:themeTint="99" w:sz="4" w:space="0"/>
              <w:bottom w:val="dashSmallGap" w:color="EF939E" w:themeColor="accent6" w:themeTint="99" w:sz="4" w:space="0"/>
              <w:right w:val="dashSmallGap" w:color="ACD78D" w:themeColor="accent4" w:themeTint="99" w:sz="4" w:space="0"/>
            </w:tcBorders>
            <w:shd w:val="clear" w:color="auto" w:fill="E3F2D9" w:themeFill="accent4" w:themeFillTint="32"/>
            <w:vAlign w:val="center"/>
          </w:tcPr>
          <w:p w14:paraId="48D5C45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3B5F21" w:themeColor="accent4" w:themeShade="80"/>
                <w:szCs w:val="20"/>
              </w:rPr>
            </w:pPr>
            <w:r>
              <w:rPr>
                <w:rFonts w:hint="eastAsia" w:ascii="黑体" w:hAnsi="黑体" w:eastAsia="黑体" w:cs="黑体"/>
                <w:b/>
                <w:bCs w:val="0"/>
                <w:color w:val="588E32" w:themeColor="accent4" w:themeShade="BF"/>
                <w:szCs w:val="20"/>
                <w14:textFill>
                  <w14:solidFill>
                    <w14:schemeClr w14:val="accent4">
                      <w14:lumMod w14:val="75000"/>
                      <w14:alpha w14:val="0"/>
                    </w14:schemeClr>
                  </w14:solidFill>
                </w14:textFill>
              </w:rPr>
              <w:t>课  时</w:t>
            </w:r>
          </w:p>
        </w:tc>
        <w:tc>
          <w:tcPr>
            <w:tcW w:w="8667" w:type="dxa"/>
            <w:gridSpan w:val="2"/>
            <w:tcBorders>
              <w:top w:val="dashSmallGap" w:color="ACD78D" w:themeColor="accent4" w:themeTint="99" w:sz="4" w:space="0"/>
              <w:left w:val="dashSmallGap" w:color="ACD78D" w:themeColor="accent4" w:themeTint="99" w:sz="4" w:space="0"/>
              <w:bottom w:val="dashSmallGap" w:color="EF939E" w:themeColor="accent6" w:themeTint="99" w:sz="4" w:space="0"/>
            </w:tcBorders>
            <w:shd w:val="clear" w:color="auto" w:fill="FFFFF1"/>
            <w:vAlign w:val="center"/>
          </w:tcPr>
          <w:p w14:paraId="47124F82">
            <w:pPr>
              <w:spacing w:line="360" w:lineRule="auto"/>
              <w:ind w:hanging="8"/>
              <w:rPr>
                <w:rFonts w:ascii="Times New Roman" w:hAnsi="Times New Roman"/>
                <w:szCs w:val="20"/>
              </w:rPr>
            </w:pPr>
            <w:r>
              <w:rPr>
                <w:rFonts w:hint="eastAsia" w:ascii="Times New Roman" w:hAnsi="Times New Roman"/>
                <w:szCs w:val="20"/>
                <w:lang w:val="en-US" w:eastAsia="zh-CN"/>
              </w:rPr>
              <w:t>3</w:t>
            </w:r>
            <w:r>
              <w:rPr>
                <w:rFonts w:ascii="Times New Roman" w:hAnsi="宋体"/>
                <w:szCs w:val="20"/>
              </w:rPr>
              <w:t>课时</w:t>
            </w:r>
            <w:r>
              <w:rPr>
                <w:rFonts w:hint="eastAsia" w:ascii="Times New Roman" w:hAnsi="宋体"/>
                <w:szCs w:val="20"/>
              </w:rPr>
              <w:t>（</w:t>
            </w:r>
            <w:r>
              <w:rPr>
                <w:rFonts w:hint="eastAsia" w:ascii="Times New Roman" w:hAnsi="宋体"/>
                <w:szCs w:val="20"/>
                <w:lang w:val="en-US" w:eastAsia="zh-CN"/>
              </w:rPr>
              <w:t>135</w:t>
            </w:r>
            <w:r>
              <w:rPr>
                <w:rFonts w:hint="eastAsia" w:ascii="Times New Roman" w:hAnsi="宋体"/>
                <w:szCs w:val="20"/>
              </w:rPr>
              <w:t>min）。</w:t>
            </w:r>
          </w:p>
        </w:tc>
      </w:tr>
      <w:tr w14:paraId="64ED9BFE">
        <w:trPr>
          <w:trHeight w:val="567" w:hRule="atLeast"/>
          <w:jc w:val="center"/>
        </w:trPr>
        <w:tc>
          <w:tcPr>
            <w:tcW w:w="1538" w:type="dxa"/>
            <w:tcBorders>
              <w:top w:val="dashSmallGap" w:color="EF939E" w:themeColor="accent6" w:themeTint="99" w:sz="4" w:space="0"/>
              <w:bottom w:val="dashSmallGap" w:color="EF939E" w:themeColor="accent6" w:themeTint="99" w:sz="4" w:space="0"/>
              <w:right w:val="dashSmallGap" w:color="EF939E" w:themeColor="accent6" w:themeTint="99" w:sz="4" w:space="0"/>
            </w:tcBorders>
            <w:shd w:val="clear" w:color="auto" w:fill="F4B7BE" w:themeFill="accent6" w:themeFillTint="66"/>
            <w:vAlign w:val="center"/>
          </w:tcPr>
          <w:p w14:paraId="52B83E55">
            <w:pPr>
              <w:spacing w:line="360" w:lineRule="auto"/>
              <w:ind w:hanging="8"/>
              <w:jc w:val="center"/>
              <w:rPr>
                <w:rFonts w:hint="eastAsia" w:ascii="黑体" w:hAnsi="黑体" w:eastAsia="黑体" w:cs="黑体"/>
                <w:b/>
                <w:szCs w:val="20"/>
              </w:rPr>
            </w:pPr>
            <w:r>
              <w:rPr>
                <w:rFonts w:hint="eastAsia" w:ascii="黑体" w:hAnsi="黑体" w:eastAsia="黑体" w:cs="黑体"/>
                <w:b/>
                <w:color w:val="851321" w:themeColor="accent6" w:themeShade="80"/>
                <w:szCs w:val="20"/>
              </w:rPr>
              <w:t>教学目标</w:t>
            </w:r>
          </w:p>
        </w:tc>
        <w:tc>
          <w:tcPr>
            <w:tcW w:w="8667" w:type="dxa"/>
            <w:gridSpan w:val="2"/>
            <w:tcBorders>
              <w:top w:val="dashSmallGap" w:color="EF939E" w:themeColor="accent6" w:themeTint="99" w:sz="4" w:space="0"/>
              <w:left w:val="dashSmallGap" w:color="EF939E" w:themeColor="accent6" w:themeTint="99" w:sz="4" w:space="0"/>
              <w:bottom w:val="dashSmallGap" w:color="EF939E" w:themeColor="accent6" w:themeTint="99" w:sz="4" w:space="0"/>
            </w:tcBorders>
            <w:shd w:val="clear" w:color="auto" w:fill="F8FFF5"/>
            <w:vAlign w:val="center"/>
          </w:tcPr>
          <w:p w14:paraId="3947DA50">
            <w:pPr>
              <w:spacing w:line="360" w:lineRule="auto"/>
              <w:ind w:hanging="8"/>
              <w:rPr>
                <w:b/>
              </w:rPr>
            </w:pPr>
            <w:r>
              <w:rPr>
                <w:rFonts w:hAnsi="宋体"/>
                <w:b/>
              </w:rPr>
              <w:t>知识</w:t>
            </w:r>
            <w:r>
              <w:rPr>
                <w:rFonts w:hint="eastAsia" w:hAnsi="宋体"/>
                <w:b/>
              </w:rPr>
              <w:t>技能</w:t>
            </w:r>
            <w:r>
              <w:rPr>
                <w:rFonts w:hAnsi="宋体"/>
                <w:b/>
              </w:rPr>
              <w:t>目标：</w:t>
            </w:r>
          </w:p>
          <w:p w14:paraId="5A4C6A79">
            <w:pPr>
              <w:spacing w:line="360" w:lineRule="auto"/>
              <w:ind w:hanging="8"/>
              <w:rPr>
                <w:rFonts w:hint="eastAsia" w:ascii="Times New Roman" w:hAnsi="宋体" w:eastAsia="宋体"/>
                <w:bCs/>
                <w:szCs w:val="20"/>
                <w:lang w:eastAsia="zh-CN"/>
              </w:rPr>
            </w:pPr>
            <w:r>
              <w:rPr>
                <w:rFonts w:ascii="Times New Roman" w:hAnsi="Times New Roman"/>
                <w:szCs w:val="20"/>
              </w:rPr>
              <w:t>1</w:t>
            </w:r>
            <w:r>
              <w:rPr>
                <w:rFonts w:ascii="Times New Roman" w:hAnsi="宋体"/>
                <w:bCs/>
                <w:szCs w:val="20"/>
              </w:rPr>
              <w:t>．</w:t>
            </w:r>
            <w:r>
              <w:rPr>
                <w:rFonts w:hint="eastAsia" w:ascii="Times New Roman" w:hAnsi="宋体"/>
                <w:bCs/>
                <w:szCs w:val="20"/>
              </w:rPr>
              <w:t>理解大学生挫折表现与压力现状。</w:t>
            </w:r>
          </w:p>
          <w:p w14:paraId="7FE965F4">
            <w:pPr>
              <w:spacing w:line="360" w:lineRule="auto"/>
              <w:ind w:hanging="8"/>
              <w:rPr>
                <w:rFonts w:hint="eastAsia" w:ascii="Times New Roman" w:hAnsi="宋体" w:eastAsia="宋体"/>
                <w:bCs/>
                <w:szCs w:val="20"/>
                <w:lang w:eastAsia="zh-CN"/>
              </w:rPr>
            </w:pPr>
            <w:r>
              <w:rPr>
                <w:rFonts w:ascii="Times New Roman" w:hAnsi="Times New Roman"/>
                <w:szCs w:val="20"/>
              </w:rPr>
              <w:t>2</w:t>
            </w:r>
            <w:r>
              <w:rPr>
                <w:rFonts w:ascii="Times New Roman" w:hAnsi="宋体"/>
                <w:bCs/>
                <w:szCs w:val="20"/>
              </w:rPr>
              <w:t>．</w:t>
            </w:r>
            <w:r>
              <w:rPr>
                <w:rFonts w:hint="eastAsia" w:ascii="Times New Roman" w:hAnsi="宋体"/>
                <w:bCs/>
                <w:szCs w:val="20"/>
                <w:lang w:eastAsia="zh-CN"/>
              </w:rPr>
              <w:t>掌握挫折与压力的含义。</w:t>
            </w:r>
          </w:p>
          <w:p w14:paraId="2316A8AB">
            <w:pPr>
              <w:spacing w:line="360" w:lineRule="auto"/>
              <w:ind w:hanging="8"/>
              <w:jc w:val="left"/>
              <w:rPr>
                <w:rFonts w:ascii="Times New Roman" w:hAnsi="宋体"/>
                <w:b/>
                <w:szCs w:val="20"/>
              </w:rPr>
            </w:pPr>
            <w:r>
              <w:rPr>
                <w:rFonts w:hint="eastAsia" w:ascii="Times New Roman" w:hAnsi="宋体"/>
                <w:b/>
                <w:szCs w:val="20"/>
              </w:rPr>
              <w:t>思政育人目标：</w:t>
            </w:r>
          </w:p>
          <w:p w14:paraId="75B6325C">
            <w:pPr>
              <w:spacing w:line="360" w:lineRule="auto"/>
              <w:ind w:hanging="8"/>
              <w:jc w:val="left"/>
              <w:rPr>
                <w:rFonts w:hint="eastAsia" w:ascii="Times New Roman" w:hAnsi="宋体" w:eastAsia="宋体"/>
                <w:szCs w:val="20"/>
                <w:lang w:eastAsia="zh-CN"/>
              </w:rPr>
            </w:pPr>
            <w:r>
              <w:rPr>
                <w:rFonts w:hint="eastAsia" w:ascii="Times New Roman" w:hAnsi="宋体"/>
                <w:szCs w:val="20"/>
              </w:rPr>
              <w:t>让学生通过学习</w:t>
            </w:r>
            <w:r>
              <w:rPr>
                <w:rFonts w:hint="eastAsia" w:ascii="Times New Roman" w:hAnsi="宋体"/>
                <w:szCs w:val="20"/>
                <w:lang w:eastAsia="zh-CN"/>
              </w:rPr>
              <w:t>大学生压力管理与挫折应对</w:t>
            </w:r>
            <w:r>
              <w:rPr>
                <w:rFonts w:hint="eastAsia" w:ascii="Times New Roman" w:hAnsi="宋体"/>
                <w:szCs w:val="20"/>
              </w:rPr>
              <w:t>，引入理论学习，</w:t>
            </w:r>
            <w:r>
              <w:rPr>
                <w:rFonts w:hint="eastAsia" w:ascii="Times New Roman" w:hAnsi="宋体"/>
                <w:szCs w:val="20"/>
                <w:lang w:eastAsia="zh-CN"/>
              </w:rPr>
              <w:t>培养学生认识和应对挫折与压力的能力。</w:t>
            </w:r>
          </w:p>
        </w:tc>
      </w:tr>
      <w:tr w14:paraId="2A1728FA">
        <w:trPr>
          <w:trHeight w:val="567" w:hRule="atLeast"/>
          <w:jc w:val="center"/>
        </w:trPr>
        <w:tc>
          <w:tcPr>
            <w:tcW w:w="1538" w:type="dxa"/>
            <w:tcBorders>
              <w:top w:val="dashSmallGap" w:color="EF939E" w:themeColor="accent6" w:themeTint="99" w:sz="4" w:space="0"/>
              <w:bottom w:val="dashSmallGap" w:color="EE822F" w:themeColor="accent2" w:sz="4" w:space="0"/>
              <w:right w:val="dashSmallGap" w:color="EE822F" w:themeColor="accent2" w:sz="4" w:space="0"/>
            </w:tcBorders>
            <w:shd w:val="clear" w:color="auto" w:fill="FBE6D6" w:themeFill="accent2" w:themeFillTint="32"/>
            <w:vAlign w:val="center"/>
          </w:tcPr>
          <w:p w14:paraId="6C2B4C5E">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教学重难点</w:t>
            </w:r>
          </w:p>
        </w:tc>
        <w:tc>
          <w:tcPr>
            <w:tcW w:w="8667" w:type="dxa"/>
            <w:gridSpan w:val="2"/>
            <w:tcBorders>
              <w:top w:val="dashSmallGap" w:color="EF939E" w:themeColor="accent6" w:themeTint="99" w:sz="4" w:space="0"/>
              <w:left w:val="dashSmallGap" w:color="EE822F" w:themeColor="accent2" w:sz="4" w:space="0"/>
              <w:bottom w:val="dashSmallGap" w:color="EE822F" w:themeColor="accent2" w:sz="4" w:space="0"/>
            </w:tcBorders>
            <w:shd w:val="clear" w:color="auto" w:fill="FFF9F2"/>
            <w:vAlign w:val="center"/>
          </w:tcPr>
          <w:p w14:paraId="40A0F443">
            <w:pPr>
              <w:spacing w:line="360" w:lineRule="auto"/>
              <w:ind w:hanging="8"/>
              <w:rPr>
                <w:rFonts w:ascii="Times New Roman" w:hAnsi="Times New Roman"/>
                <w:b/>
                <w:szCs w:val="20"/>
              </w:rPr>
            </w:pPr>
            <w:r>
              <w:rPr>
                <w:rFonts w:hint="eastAsia" w:ascii="Times New Roman" w:hAnsi="Times New Roman"/>
                <w:b/>
                <w:szCs w:val="20"/>
              </w:rPr>
              <w:t>教学重点：</w:t>
            </w:r>
          </w:p>
          <w:p w14:paraId="75F72A6B">
            <w:pPr>
              <w:spacing w:line="360" w:lineRule="auto"/>
              <w:ind w:hanging="8"/>
              <w:rPr>
                <w:rFonts w:hint="eastAsia" w:ascii="Times New Roman" w:hAnsi="宋体"/>
                <w:szCs w:val="20"/>
              </w:rPr>
            </w:pPr>
            <w:r>
              <w:rPr>
                <w:rFonts w:hint="eastAsia" w:ascii="Times New Roman" w:hAnsi="宋体"/>
                <w:szCs w:val="20"/>
              </w:rPr>
              <w:t>大学生挫折调适方法与技术</w:t>
            </w:r>
          </w:p>
          <w:p w14:paraId="35B6593E">
            <w:pPr>
              <w:spacing w:line="360" w:lineRule="auto"/>
              <w:ind w:hanging="8"/>
              <w:rPr>
                <w:rFonts w:ascii="Times New Roman" w:hAnsi="Times New Roman"/>
                <w:b/>
                <w:szCs w:val="20"/>
              </w:rPr>
            </w:pPr>
            <w:r>
              <w:rPr>
                <w:rFonts w:hint="eastAsia" w:ascii="Times New Roman" w:hAnsi="Times New Roman"/>
                <w:b/>
                <w:szCs w:val="20"/>
              </w:rPr>
              <w:t>教学难点：</w:t>
            </w:r>
          </w:p>
          <w:p w14:paraId="6E03F56C">
            <w:pPr>
              <w:spacing w:line="360" w:lineRule="auto"/>
              <w:ind w:hanging="8"/>
              <w:rPr>
                <w:rFonts w:hint="eastAsia" w:ascii="Times New Roman" w:hAnsi="宋体" w:eastAsia="宋体"/>
                <w:szCs w:val="20"/>
                <w:lang w:eastAsia="zh-CN"/>
              </w:rPr>
            </w:pPr>
            <w:r>
              <w:rPr>
                <w:rFonts w:hint="eastAsia" w:ascii="Times New Roman" w:hAnsi="宋体"/>
                <w:szCs w:val="20"/>
              </w:rPr>
              <w:t>压力与压力管理</w:t>
            </w:r>
          </w:p>
        </w:tc>
      </w:tr>
      <w:tr w14:paraId="6D19B846">
        <w:trPr>
          <w:trHeight w:val="567" w:hRule="atLeast"/>
          <w:jc w:val="center"/>
        </w:trPr>
        <w:tc>
          <w:tcPr>
            <w:tcW w:w="1538" w:type="dxa"/>
            <w:tcBorders>
              <w:top w:val="dashSmallGap" w:color="EE822F" w:themeColor="accent2" w:sz="4" w:space="0"/>
              <w:bottom w:val="dashSmallGap" w:color="EE822F" w:themeColor="accent2" w:sz="4" w:space="0"/>
              <w:right w:val="dashSmallGap" w:color="EE822F" w:themeColor="accent2" w:sz="4" w:space="0"/>
            </w:tcBorders>
            <w:shd w:val="clear" w:color="auto" w:fill="FBE6D6" w:themeFill="accent2" w:themeFillTint="32"/>
            <w:vAlign w:val="center"/>
          </w:tcPr>
          <w:p w14:paraId="5219354D">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教学方法</w:t>
            </w:r>
          </w:p>
        </w:tc>
        <w:tc>
          <w:tcPr>
            <w:tcW w:w="8667" w:type="dxa"/>
            <w:gridSpan w:val="2"/>
            <w:tcBorders>
              <w:top w:val="dashSmallGap" w:color="EE822F" w:themeColor="accent2" w:sz="4" w:space="0"/>
              <w:left w:val="dashSmallGap" w:color="EE822F" w:themeColor="accent2" w:sz="4" w:space="0"/>
              <w:bottom w:val="dashSmallGap" w:color="EE822F" w:themeColor="accent2" w:sz="4" w:space="0"/>
            </w:tcBorders>
            <w:shd w:val="clear" w:color="auto" w:fill="FFF9F2"/>
            <w:vAlign w:val="center"/>
          </w:tcPr>
          <w:p w14:paraId="782310F2">
            <w:pPr>
              <w:spacing w:line="360" w:lineRule="auto"/>
              <w:ind w:hanging="8"/>
              <w:rPr>
                <w:rFonts w:ascii="Times New Roman" w:hAnsi="Times New Roman"/>
                <w:szCs w:val="20"/>
              </w:rPr>
            </w:pPr>
            <w:r>
              <w:rPr>
                <w:rFonts w:hint="eastAsia" w:ascii="Times New Roman" w:hAnsi="宋体"/>
                <w:szCs w:val="20"/>
              </w:rPr>
              <w:t>讲授法、问答法、讨论法</w:t>
            </w:r>
          </w:p>
        </w:tc>
      </w:tr>
      <w:tr w14:paraId="354546A2">
        <w:trPr>
          <w:trHeight w:val="567" w:hRule="atLeast"/>
          <w:jc w:val="center"/>
        </w:trPr>
        <w:tc>
          <w:tcPr>
            <w:tcW w:w="1538" w:type="dxa"/>
            <w:tcBorders>
              <w:top w:val="dashSmallGap" w:color="EE822F" w:themeColor="accent2" w:sz="4" w:space="0"/>
              <w:bottom w:val="dashSmallGap" w:color="4874CB" w:themeColor="accent1" w:sz="4" w:space="0"/>
              <w:right w:val="dashSmallGap" w:color="EE822F" w:themeColor="accent2" w:sz="4" w:space="0"/>
            </w:tcBorders>
            <w:shd w:val="clear" w:color="auto" w:fill="FBE6D6" w:themeFill="accent2" w:themeFillTint="32"/>
            <w:vAlign w:val="center"/>
          </w:tcPr>
          <w:p w14:paraId="547D300B">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教学用具</w:t>
            </w:r>
          </w:p>
        </w:tc>
        <w:tc>
          <w:tcPr>
            <w:tcW w:w="8667" w:type="dxa"/>
            <w:gridSpan w:val="2"/>
            <w:tcBorders>
              <w:top w:val="dashSmallGap" w:color="EE822F" w:themeColor="accent2" w:sz="4" w:space="0"/>
              <w:left w:val="dashSmallGap" w:color="EE822F" w:themeColor="accent2" w:sz="4" w:space="0"/>
              <w:bottom w:val="dashSmallGap" w:color="4874CB" w:themeColor="accent1" w:sz="4" w:space="0"/>
            </w:tcBorders>
            <w:shd w:val="clear" w:color="auto" w:fill="FFF9F2"/>
            <w:vAlign w:val="center"/>
          </w:tcPr>
          <w:p w14:paraId="3174B6B3">
            <w:pPr>
              <w:spacing w:line="360" w:lineRule="auto"/>
              <w:ind w:hanging="8"/>
              <w:rPr>
                <w:rFonts w:ascii="Times New Roman" w:hAnsi="Times New Roman"/>
                <w:szCs w:val="20"/>
              </w:rPr>
            </w:pPr>
            <w:r>
              <w:rPr>
                <w:rFonts w:hint="eastAsia" w:ascii="Times New Roman" w:hAnsi="宋体"/>
                <w:szCs w:val="20"/>
              </w:rPr>
              <w:t>电脑、投影仪、</w:t>
            </w:r>
            <w:r>
              <w:rPr>
                <w:rFonts w:ascii="Times New Roman" w:hAnsi="宋体"/>
                <w:szCs w:val="20"/>
              </w:rPr>
              <w:t>多媒体</w:t>
            </w:r>
            <w:r>
              <w:rPr>
                <w:rFonts w:hint="eastAsia" w:ascii="Times New Roman" w:hAnsi="宋体"/>
                <w:szCs w:val="20"/>
              </w:rPr>
              <w:t>课件、教材</w:t>
            </w:r>
          </w:p>
        </w:tc>
      </w:tr>
      <w:tr w14:paraId="47F79B2F">
        <w:trPr>
          <w:trHeight w:val="567" w:hRule="atLeast"/>
          <w:jc w:val="center"/>
        </w:trPr>
        <w:tc>
          <w:tcPr>
            <w:tcW w:w="1538" w:type="dxa"/>
            <w:tcBorders>
              <w:top w:val="dashSmallGap" w:color="4874CB" w:themeColor="accent1" w:sz="4" w:space="0"/>
              <w:bottom w:val="double" w:color="833F0A" w:themeColor="accent2" w:themeShade="7F" w:sz="4" w:space="0"/>
              <w:right w:val="dashSmallGap" w:color="4874CB" w:themeColor="accent1" w:sz="4" w:space="0"/>
            </w:tcBorders>
            <w:shd w:val="clear" w:color="auto" w:fill="C6DFF7"/>
            <w:vAlign w:val="center"/>
          </w:tcPr>
          <w:p w14:paraId="66F37B19">
            <w:pPr>
              <w:spacing w:line="360" w:lineRule="auto"/>
              <w:ind w:hanging="8"/>
              <w:jc w:val="center"/>
              <w:rPr>
                <w:rFonts w:hint="eastAsia" w:ascii="黑体" w:hAnsi="黑体" w:eastAsia="黑体" w:cs="黑体"/>
                <w:b/>
                <w:szCs w:val="20"/>
              </w:rPr>
            </w:pPr>
            <w:r>
              <w:rPr>
                <w:rFonts w:hint="eastAsia" w:ascii="黑体" w:hAnsi="黑体" w:eastAsia="黑体" w:cs="黑体"/>
                <w:b/>
                <w:szCs w:val="20"/>
              </w:rPr>
              <w:t>教学设计</w:t>
            </w:r>
          </w:p>
        </w:tc>
        <w:tc>
          <w:tcPr>
            <w:tcW w:w="8667" w:type="dxa"/>
            <w:gridSpan w:val="2"/>
            <w:tcBorders>
              <w:top w:val="dashSmallGap" w:color="4874CB" w:themeColor="accent1" w:sz="4" w:space="0"/>
              <w:left w:val="dashSmallGap" w:color="4874CB" w:themeColor="accent1" w:sz="4" w:space="0"/>
              <w:bottom w:val="double" w:color="833F0A" w:themeColor="accent2" w:themeShade="7F" w:sz="4" w:space="0"/>
            </w:tcBorders>
            <w:shd w:val="clear" w:color="auto" w:fill="EBF5FF"/>
            <w:vAlign w:val="center"/>
          </w:tcPr>
          <w:p w14:paraId="0D4446CC">
            <w:pPr>
              <w:spacing w:line="360" w:lineRule="auto"/>
              <w:rPr>
                <w:rFonts w:ascii="Times New Roman" w:hAnsi="宋体"/>
                <w:szCs w:val="20"/>
              </w:rPr>
            </w:pPr>
            <w:r>
              <w:rPr>
                <w:rFonts w:hint="eastAsia" w:ascii="Times New Roman" w:hAnsi="宋体"/>
                <w:szCs w:val="20"/>
              </w:rPr>
              <w:t>第1节课：激趣导入（15min）--传授新知（30min）</w:t>
            </w:r>
          </w:p>
          <w:p w14:paraId="5F6B9524">
            <w:pPr>
              <w:spacing w:line="360" w:lineRule="auto"/>
              <w:rPr>
                <w:rFonts w:hint="eastAsia" w:ascii="Times New Roman" w:hAnsi="宋体"/>
                <w:szCs w:val="20"/>
              </w:rPr>
            </w:pPr>
            <w:r>
              <w:rPr>
                <w:rFonts w:hint="eastAsia" w:ascii="Times New Roman" w:hAnsi="宋体"/>
                <w:szCs w:val="20"/>
              </w:rPr>
              <w:t>第</w:t>
            </w:r>
            <w:r>
              <w:rPr>
                <w:rFonts w:ascii="Times New Roman" w:hAnsi="宋体"/>
                <w:szCs w:val="20"/>
              </w:rPr>
              <w:t>2</w:t>
            </w:r>
            <w:r>
              <w:rPr>
                <w:rFonts w:hint="eastAsia" w:ascii="Times New Roman" w:hAnsi="宋体"/>
                <w:szCs w:val="20"/>
              </w:rPr>
              <w:t>节课：继续探索（</w:t>
            </w:r>
            <w:r>
              <w:rPr>
                <w:rFonts w:hint="eastAsia" w:ascii="Times New Roman" w:hAnsi="宋体"/>
                <w:szCs w:val="20"/>
                <w:lang w:val="en-US" w:eastAsia="zh-CN"/>
              </w:rPr>
              <w:t>40</w:t>
            </w:r>
            <w:r>
              <w:rPr>
                <w:rFonts w:hint="eastAsia" w:ascii="Times New Roman" w:hAnsi="宋体"/>
                <w:szCs w:val="20"/>
              </w:rPr>
              <w:t>min）----课堂小结（3min）--作业布置（2min）</w:t>
            </w:r>
          </w:p>
          <w:p w14:paraId="10FAA4C9">
            <w:pPr>
              <w:spacing w:line="360" w:lineRule="auto"/>
              <w:rPr>
                <w:rFonts w:hint="eastAsia" w:ascii="Times New Roman" w:hAnsi="宋体"/>
                <w:szCs w:val="20"/>
              </w:rPr>
            </w:pPr>
            <w:r>
              <w:rPr>
                <w:rFonts w:hint="eastAsia" w:ascii="Times New Roman" w:hAnsi="宋体"/>
                <w:szCs w:val="20"/>
              </w:rPr>
              <w:t>第</w:t>
            </w:r>
            <w:r>
              <w:rPr>
                <w:rFonts w:hint="eastAsia" w:ascii="Times New Roman" w:hAnsi="宋体"/>
                <w:szCs w:val="20"/>
                <w:lang w:val="en-US" w:eastAsia="zh-CN"/>
              </w:rPr>
              <w:t>3</w:t>
            </w:r>
            <w:r>
              <w:rPr>
                <w:rFonts w:hint="eastAsia" w:ascii="Times New Roman" w:hAnsi="宋体"/>
                <w:szCs w:val="20"/>
              </w:rPr>
              <w:t>节课：继续探索（40min）----课堂小结（3min）--作业布置（2min）</w:t>
            </w:r>
          </w:p>
        </w:tc>
      </w:tr>
      <w:tr w14:paraId="74F94E37">
        <w:trPr>
          <w:trHeight w:val="567" w:hRule="atLeast"/>
          <w:jc w:val="center"/>
        </w:trPr>
        <w:tc>
          <w:tcPr>
            <w:tcW w:w="1538" w:type="dxa"/>
            <w:tcBorders>
              <w:top w:val="double" w:color="833F0A" w:themeColor="accent2" w:themeShade="7F" w:sz="4" w:space="0"/>
              <w:bottom w:val="double" w:color="833F0A" w:themeColor="accent2" w:themeShade="7F" w:sz="4" w:space="0"/>
              <w:right w:val="single" w:color="833F0A" w:themeColor="accent2" w:themeShade="7F" w:sz="4" w:space="0"/>
            </w:tcBorders>
            <w:shd w:val="clear" w:color="auto" w:fill="ACD78D" w:themeFill="accent4" w:themeFillTint="99"/>
            <w:vAlign w:val="center"/>
          </w:tcPr>
          <w:p w14:paraId="34394223">
            <w:pPr>
              <w:spacing w:line="360" w:lineRule="auto"/>
              <w:ind w:hanging="8"/>
              <w:jc w:val="center"/>
              <w:rPr>
                <w:rFonts w:hint="eastAsia" w:ascii="黑体" w:hAnsi="黑体" w:eastAsia="黑体" w:cs="黑体"/>
                <w:b w:val="0"/>
                <w:bCs w:val="0"/>
                <w:color w:val="843F0B" w:themeColor="accent2" w:themeShade="80"/>
                <w:szCs w:val="24"/>
              </w:rPr>
            </w:pPr>
            <w:r>
              <w:rPr>
                <w:rFonts w:hint="eastAsia" w:ascii="黑体" w:hAnsi="黑体" w:eastAsia="黑体" w:cs="黑体"/>
                <w:b w:val="0"/>
                <w:bCs w:val="0"/>
                <w:color w:val="843F0B" w:themeColor="accent2" w:themeShade="80"/>
                <w:szCs w:val="24"/>
              </w:rPr>
              <w:t>教学过程</w:t>
            </w:r>
          </w:p>
        </w:tc>
        <w:tc>
          <w:tcPr>
            <w:tcW w:w="7050" w:type="dxa"/>
            <w:tcBorders>
              <w:top w:val="double" w:color="833F0A" w:themeColor="accent2" w:themeShade="7F" w:sz="4" w:space="0"/>
              <w:left w:val="single" w:color="833F0A" w:themeColor="accent2" w:themeShade="7F" w:sz="4" w:space="0"/>
              <w:bottom w:val="double" w:color="833F0A" w:themeColor="accent2" w:themeShade="7F" w:sz="4" w:space="0"/>
              <w:right w:val="single" w:color="833F0A" w:themeColor="accent2" w:themeShade="7F" w:sz="4" w:space="0"/>
            </w:tcBorders>
            <w:shd w:val="clear" w:color="auto" w:fill="ACD78D" w:themeFill="accent4" w:themeFillTint="99"/>
            <w:vAlign w:val="center"/>
          </w:tcPr>
          <w:p w14:paraId="21F959F7">
            <w:pPr>
              <w:spacing w:line="360" w:lineRule="auto"/>
              <w:jc w:val="center"/>
              <w:rPr>
                <w:rFonts w:hint="eastAsia" w:ascii="黑体" w:hAnsi="黑体" w:eastAsia="黑体" w:cs="黑体"/>
                <w:b w:val="0"/>
                <w:bCs w:val="0"/>
                <w:color w:val="843F0B" w:themeColor="accent2" w:themeShade="80"/>
                <w:szCs w:val="20"/>
              </w:rPr>
            </w:pPr>
            <w:r>
              <w:rPr>
                <w:rFonts w:hint="eastAsia" w:ascii="黑体" w:hAnsi="黑体" w:eastAsia="黑体" w:cs="黑体"/>
                <w:b w:val="0"/>
                <w:bCs w:val="0"/>
                <w:color w:val="843F0B" w:themeColor="accent2" w:themeShade="80"/>
                <w:szCs w:val="24"/>
              </w:rPr>
              <w:t>主 要 教 学 内 容 及 步 骤</w:t>
            </w:r>
          </w:p>
        </w:tc>
        <w:tc>
          <w:tcPr>
            <w:tcW w:w="1617" w:type="dxa"/>
            <w:tcBorders>
              <w:top w:val="double" w:color="833F0A" w:themeColor="accent2" w:themeShade="7F" w:sz="4" w:space="0"/>
              <w:left w:val="single" w:color="833F0A" w:themeColor="accent2" w:themeShade="7F" w:sz="4" w:space="0"/>
              <w:bottom w:val="double" w:color="833F0A" w:themeColor="accent2" w:themeShade="7F" w:sz="4" w:space="0"/>
            </w:tcBorders>
            <w:shd w:val="clear" w:color="auto" w:fill="ACD78D" w:themeFill="accent4" w:themeFillTint="99"/>
            <w:vAlign w:val="center"/>
          </w:tcPr>
          <w:p w14:paraId="7E8E2924">
            <w:pPr>
              <w:spacing w:line="360" w:lineRule="auto"/>
              <w:jc w:val="center"/>
              <w:rPr>
                <w:rFonts w:hint="eastAsia" w:ascii="黑体" w:hAnsi="黑体" w:eastAsia="黑体" w:cs="黑体"/>
                <w:b w:val="0"/>
                <w:bCs w:val="0"/>
                <w:color w:val="843F0B" w:themeColor="accent2" w:themeShade="80"/>
                <w:szCs w:val="20"/>
              </w:rPr>
            </w:pPr>
            <w:r>
              <w:rPr>
                <w:rFonts w:hint="eastAsia" w:ascii="黑体" w:hAnsi="黑体" w:eastAsia="黑体" w:cs="黑体"/>
                <w:b w:val="0"/>
                <w:bCs w:val="0"/>
                <w:color w:val="843F0B" w:themeColor="accent2" w:themeShade="80"/>
                <w:szCs w:val="20"/>
              </w:rPr>
              <w:t>设计意图</w:t>
            </w:r>
          </w:p>
        </w:tc>
      </w:tr>
      <w:tr w14:paraId="400EE313">
        <w:trPr>
          <w:trHeight w:val="567" w:hRule="atLeast"/>
          <w:jc w:val="center"/>
        </w:trPr>
        <w:tc>
          <w:tcPr>
            <w:tcW w:w="1538" w:type="dxa"/>
            <w:tcBorders>
              <w:top w:val="double" w:color="833F0A" w:themeColor="accent2" w:themeShade="7F" w:sz="4" w:space="0"/>
              <w:bottom w:val="dashSmallGap" w:color="E54C5E" w:themeColor="accent6" w:sz="4" w:space="0"/>
              <w:right w:val="dashSmallGap" w:color="833F0A" w:themeColor="accent2" w:themeShade="7F" w:sz="4" w:space="0"/>
            </w:tcBorders>
            <w:shd w:val="clear" w:color="auto" w:fill="FEFFE9"/>
            <w:vAlign w:val="center"/>
          </w:tcPr>
          <w:p w14:paraId="5DBB22E2">
            <w:pPr>
              <w:spacing w:line="360" w:lineRule="auto"/>
              <w:rPr>
                <w:rFonts w:ascii="微软雅黑" w:hAnsi="微软雅黑" w:eastAsia="微软雅黑"/>
                <w:b/>
                <w:sz w:val="24"/>
                <w:szCs w:val="24"/>
              </w:rPr>
            </w:pPr>
          </w:p>
          <w:p w14:paraId="182662C3">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激趣导入</w:t>
            </w:r>
          </w:p>
          <w:p w14:paraId="4AA7C3F9">
            <w:pPr>
              <w:spacing w:line="360" w:lineRule="auto"/>
              <w:ind w:hanging="8"/>
              <w:jc w:val="center"/>
              <w:rPr>
                <w:rFonts w:ascii="Times New Roman" w:hAnsi="Times New Roman"/>
                <w:b/>
                <w:szCs w:val="24"/>
              </w:rPr>
            </w:pPr>
            <w:r>
              <w:rPr>
                <w:rFonts w:ascii="Times New Roman" w:hAnsi="Times New Roman"/>
                <w:color w:val="843F0B" w:themeColor="accent2" w:themeShade="80"/>
                <w:szCs w:val="24"/>
              </w:rPr>
              <w:t>（15</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ouble" w:color="833F0A" w:themeColor="accent2" w:themeShade="7F" w:sz="4" w:space="0"/>
              <w:left w:val="dashSmallGap" w:color="833F0A" w:themeColor="accent2" w:themeShade="7F" w:sz="4" w:space="0"/>
              <w:bottom w:val="dashSmallGap" w:color="E54C5E" w:themeColor="accent6" w:sz="4" w:space="0"/>
              <w:right w:val="dashSmallGap" w:color="833F0A" w:themeColor="accent2" w:themeShade="7F" w:sz="4" w:space="0"/>
            </w:tcBorders>
            <w:vAlign w:val="center"/>
          </w:tcPr>
          <w:p w14:paraId="4FBF39C4">
            <w:pPr>
              <w:spacing w:line="360" w:lineRule="auto"/>
              <w:rPr>
                <w:rFonts w:hint="eastAsia"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lang w:val="en-US" w:eastAsia="zh-CN"/>
              </w:rPr>
              <w:t>讲解故事</w:t>
            </w:r>
          </w:p>
          <w:p w14:paraId="53CA76F5">
            <w:pPr>
              <w:spacing w:line="360" w:lineRule="auto"/>
              <w:ind w:firstLine="420" w:firstLineChars="200"/>
              <w:jc w:val="center"/>
              <w:rPr>
                <w:rFonts w:hint="eastAsia" w:ascii="宋体" w:hAnsi="宋体" w:cs="宋体"/>
                <w:b/>
                <w:bCs w:val="0"/>
                <w:kern w:val="0"/>
                <w:szCs w:val="24"/>
              </w:rPr>
            </w:pPr>
            <w:r>
              <w:rPr>
                <w:rFonts w:hint="eastAsia" w:ascii="宋体" w:hAnsi="宋体" w:cs="宋体"/>
                <w:b/>
                <w:bCs w:val="0"/>
                <w:kern w:val="0"/>
                <w:szCs w:val="24"/>
              </w:rPr>
              <w:t>遭受恋爱挫折的女孩</w:t>
            </w:r>
          </w:p>
          <w:p w14:paraId="659BC908">
            <w:pPr>
              <w:spacing w:line="360" w:lineRule="auto"/>
              <w:ind w:firstLine="420" w:firstLineChars="200"/>
              <w:rPr>
                <w:rFonts w:ascii="宋体" w:hAnsi="宋体" w:cs="宋体"/>
                <w:b/>
                <w:kern w:val="0"/>
                <w:szCs w:val="24"/>
              </w:rPr>
            </w:pPr>
            <w:r>
              <w:rPr>
                <w:rFonts w:hint="eastAsia" w:ascii="宋体" w:hAnsi="宋体" w:cs="宋体"/>
                <w:b w:val="0"/>
                <w:bCs/>
                <w:kern w:val="0"/>
                <w:szCs w:val="24"/>
              </w:rPr>
              <w:t>林某，女，21 岁，商务英语专业三年级学生。林某来自江西某山区农村，对于能到省城上大学，林某感到万分高兴。到校后，她学习刻苦、成绩优异，大一时曾被评为三好学生。随着年龄的增长，对异性的倾慕与日俱增，盼望早日有位白马王子出现。当她把自己的感情向本专业另一男生诉说时，遭到婉言拒绝。寒假时她忍不住又写了一封信给那位男生，但他顺路约请同学一同返校已离开家了，他的哥哥便把这封信原封不动地“加快”转寄到学校来了。信到校后，同寝室的同学以为他家里出了什么事，便拆开了信，此事被公开。消息一传出，原本内向、忧郁的她，心情更加沉重了，心里的矛盾也更大了，为此，她整天精神恍惚，委靡不振，夜不能寐，觉得丢了面子，做了件丢人的事。看见同学们在一起说笑，她就以为同学们在取笑她，她便上前去和同学们解释，可自己又说不明白，搞得满城风雨。由此经常剧烈头痛，胸中憋闷，度日如年，无法集中精力学习，最终产生自杀念头。她写完给系领导、父母、同学的信后，便吃了大量的安眠药。由于老师、同学发现及时，送到校医院被抢救过来。</w:t>
            </w:r>
          </w:p>
          <w:p w14:paraId="4DAC1EE9">
            <w:pPr>
              <w:spacing w:line="360" w:lineRule="auto"/>
              <w:rPr>
                <w:rFonts w:ascii="Times New Roman" w:hAnsi="Times New Roman"/>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发言，分享</w:t>
            </w:r>
            <w:r>
              <w:rPr>
                <w:rFonts w:hint="eastAsia" w:ascii="Times New Roman" w:hAnsi="Times New Roman"/>
                <w:b/>
                <w:color w:val="CC0066"/>
                <w:lang w:eastAsia="zh-CN"/>
              </w:rPr>
              <w:t>见解</w:t>
            </w:r>
            <w:r>
              <w:rPr>
                <w:rFonts w:hint="eastAsia" w:ascii="Times New Roman" w:hAnsi="Times New Roman"/>
                <w:b/>
                <w:color w:val="CC0066"/>
              </w:rPr>
              <w:t>。</w:t>
            </w:r>
          </w:p>
        </w:tc>
        <w:tc>
          <w:tcPr>
            <w:tcW w:w="1617" w:type="dxa"/>
            <w:tcBorders>
              <w:top w:val="double" w:color="833F0A" w:themeColor="accent2" w:themeShade="7F" w:sz="4" w:space="0"/>
              <w:left w:val="dashSmallGap" w:color="833F0A" w:themeColor="accent2" w:themeShade="7F" w:sz="4" w:space="0"/>
              <w:bottom w:val="dashSmallGap" w:color="E54C5E" w:themeColor="accent6" w:sz="4" w:space="0"/>
            </w:tcBorders>
            <w:shd w:val="clear" w:color="auto" w:fill="auto"/>
            <w:vAlign w:val="center"/>
          </w:tcPr>
          <w:p w14:paraId="0639F982">
            <w:pPr>
              <w:spacing w:line="360" w:lineRule="auto"/>
              <w:jc w:val="both"/>
              <w:rPr>
                <w:rFonts w:ascii="Times New Roman" w:hAnsi="Times New Roman"/>
                <w:b/>
                <w:szCs w:val="24"/>
              </w:rPr>
            </w:pPr>
            <w:r>
              <w:rPr>
                <w:rFonts w:hint="eastAsia" w:ascii="Times New Roman" w:hAnsi="Times New Roman"/>
                <w:b w:val="0"/>
                <w:bCs/>
                <w:szCs w:val="24"/>
              </w:rPr>
              <w:t>通过</w:t>
            </w:r>
            <w:r>
              <w:rPr>
                <w:rFonts w:hint="eastAsia" w:ascii="Times New Roman" w:hAnsi="Times New Roman"/>
                <w:b w:val="0"/>
                <w:bCs/>
                <w:szCs w:val="24"/>
                <w:lang w:val="en-US" w:eastAsia="zh-CN"/>
              </w:rPr>
              <w:t>聆听故事</w:t>
            </w:r>
            <w:r>
              <w:rPr>
                <w:rFonts w:hint="eastAsia" w:ascii="Times New Roman" w:hAnsi="Times New Roman"/>
                <w:b w:val="0"/>
                <w:bCs/>
                <w:szCs w:val="24"/>
              </w:rPr>
              <w:t>，让学生了解</w:t>
            </w:r>
            <w:r>
              <w:rPr>
                <w:rFonts w:hint="eastAsia" w:ascii="Times New Roman" w:hAnsi="Times New Roman"/>
                <w:b w:val="0"/>
                <w:bCs/>
                <w:szCs w:val="24"/>
                <w:lang w:eastAsia="zh-CN"/>
              </w:rPr>
              <w:t>心理学</w:t>
            </w:r>
            <w:r>
              <w:rPr>
                <w:rFonts w:hint="eastAsia" w:ascii="Times New Roman" w:hAnsi="Times New Roman"/>
                <w:b w:val="0"/>
                <w:bCs/>
                <w:szCs w:val="24"/>
              </w:rPr>
              <w:t>，激发学生的学习欲望。</w:t>
            </w:r>
          </w:p>
        </w:tc>
      </w:tr>
      <w:tr w14:paraId="66D132EF">
        <w:trPr>
          <w:trHeight w:val="567" w:hRule="atLeast"/>
          <w:jc w:val="center"/>
        </w:trPr>
        <w:tc>
          <w:tcPr>
            <w:tcW w:w="1538" w:type="dxa"/>
            <w:tcBorders>
              <w:top w:val="dashSmallGap" w:color="E54C5E" w:themeColor="accent6" w:sz="4" w:space="0"/>
              <w:bottom w:val="dashSmallGap" w:color="E54C5E" w:themeColor="accent6" w:sz="4" w:space="0"/>
              <w:right w:val="dashSmallGap" w:color="E54C5E" w:themeColor="accent6" w:sz="4" w:space="0"/>
            </w:tcBorders>
            <w:shd w:val="clear" w:color="auto" w:fill="F9DBDF" w:themeFill="accent6" w:themeFillTint="32"/>
            <w:vAlign w:val="center"/>
          </w:tcPr>
          <w:p w14:paraId="433EB227">
            <w:pPr>
              <w:spacing w:line="360" w:lineRule="auto"/>
              <w:jc w:val="center"/>
              <w:rPr>
                <w:rFonts w:ascii="微软雅黑" w:hAnsi="微软雅黑" w:eastAsia="微软雅黑"/>
                <w:b/>
                <w:color w:val="851321" w:themeColor="accent6" w:themeShade="80"/>
                <w:sz w:val="24"/>
                <w:szCs w:val="24"/>
              </w:rPr>
            </w:pPr>
            <w:r>
              <w:rPr>
                <w:rFonts w:ascii="微软雅黑" w:hAnsi="微软雅黑" w:eastAsia="微软雅黑"/>
                <w:b/>
                <w:color w:val="851321" w:themeColor="accent6" w:themeShade="80"/>
                <w:sz w:val="24"/>
                <w:szCs w:val="24"/>
              </w:rPr>
              <w:t>传授新知</w:t>
            </w:r>
          </w:p>
          <w:p w14:paraId="2D725B28">
            <w:pPr>
              <w:spacing w:line="360" w:lineRule="auto"/>
              <w:jc w:val="center"/>
              <w:rPr>
                <w:rFonts w:ascii="微软雅黑" w:hAnsi="微软雅黑" w:eastAsia="微软雅黑"/>
                <w:b/>
                <w:sz w:val="24"/>
                <w:szCs w:val="24"/>
              </w:rPr>
            </w:pPr>
            <w:r>
              <w:rPr>
                <w:rFonts w:ascii="Times New Roman" w:hAnsi="Times New Roman"/>
                <w:color w:val="851321" w:themeColor="accent6" w:themeShade="80"/>
                <w:szCs w:val="24"/>
              </w:rPr>
              <w:t>（30</w:t>
            </w:r>
            <w:r>
              <w:rPr>
                <w:rFonts w:hint="eastAsia" w:ascii="Times New Roman" w:hAnsi="Times New Roman"/>
                <w:color w:val="851321" w:themeColor="accent6" w:themeShade="80"/>
                <w:szCs w:val="24"/>
              </w:rPr>
              <w:t>min</w:t>
            </w:r>
            <w:r>
              <w:rPr>
                <w:rFonts w:ascii="Times New Roman" w:hAnsi="Times New Roman"/>
                <w:color w:val="851321" w:themeColor="accent6" w:themeShade="80"/>
                <w:szCs w:val="24"/>
              </w:rPr>
              <w:t>）</w:t>
            </w:r>
          </w:p>
        </w:tc>
        <w:tc>
          <w:tcPr>
            <w:tcW w:w="7050" w:type="dxa"/>
            <w:tcBorders>
              <w:top w:val="dashSmallGap" w:color="E54C5E" w:themeColor="accent6" w:sz="4" w:space="0"/>
              <w:left w:val="dashSmallGap" w:color="E54C5E" w:themeColor="accent6" w:sz="4" w:space="0"/>
              <w:bottom w:val="dashSmallGap" w:color="E54C5E" w:themeColor="accent6" w:sz="4" w:space="0"/>
              <w:right w:val="dashSmallGap" w:color="E54C5E" w:themeColor="accent6" w:sz="4" w:space="0"/>
            </w:tcBorders>
            <w:vAlign w:val="center"/>
          </w:tcPr>
          <w:p w14:paraId="463A424D">
            <w:pPr>
              <w:pStyle w:val="11"/>
              <w:keepNext/>
              <w:keepLines/>
              <w:spacing w:line="360" w:lineRule="auto"/>
              <w:rPr>
                <w:rFonts w:ascii="Times New Roman" w:hAnsi="Times New Roman" w:cs="Times New Roman"/>
                <w:b/>
                <w:color w:val="auto"/>
                <w:sz w:val="21"/>
                <w:szCs w:val="24"/>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cs="Times New Roman"/>
                <w:b/>
                <w:bCs/>
                <w:color w:val="CC0066"/>
                <w:sz w:val="21"/>
                <w:szCs w:val="22"/>
                <w:lang w:val="en-US" w:eastAsia="zh-CN" w:bidi="ar-SA"/>
              </w:rPr>
              <w:t>讲解挫折概述</w:t>
            </w:r>
          </w:p>
          <w:p w14:paraId="050C13D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一、什么是挫折</w:t>
            </w:r>
          </w:p>
          <w:p w14:paraId="33FCB97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所谓挫折（frustration）就是我们通常所说的“碰钉子”，是指个体的动机行为受到阻碍而产生的紧张状态与情绪反应。个体在实现目标的过程中，动机行为会有不同的结果，一是无须特别努力即可达到目标，需要很容易满足；二是遇到了干扰和障碍，但是经过努力或者采取某种方法仍可达到目标；三是遇到干扰和障碍使目标不能达到，需要不能满足，而产生种种不安、焦虑情绪。在心理学上，把个人遇到的第三种情况称之为挫折。它是一种消极的心理状态。</w:t>
            </w:r>
          </w:p>
          <w:p w14:paraId="75D0FAA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二、大学生产生挫折的原因</w:t>
            </w:r>
          </w:p>
          <w:p w14:paraId="35D3F36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大学生处于人生发展的关键时期，一方面，他们精力充沛，思想活跃，自我意识强，发展欲望强烈，需求广泛而执著，个人的理想抱负水平普遍较高；另一方面，他们人格发展尚不够成熟，社会阅历浅，挫折经验不足，加上大学是一个竞争激烈的环境。因此，大学生遇到挫折是必然的，也是普遍的，甚至遭遇挫折的频度相对还会更高一些。造成大学生挫折的原因是多方面的和复杂的，挫折的形成与自然环境、社会环境、自身条件以及个人的动机冲突等多种因素有关。大致可以分为三大类：</w:t>
            </w:r>
          </w:p>
          <w:p w14:paraId="6E8CAB7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（一）客观因素</w:t>
            </w:r>
          </w:p>
          <w:p w14:paraId="7115CBC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构成挫折的客观因素是指个人自身因素以外的自然因素和社会因素给人带来的限制与阻碍，使人的需要和目标不能满足和实现而产生挫折。</w:t>
            </w:r>
          </w:p>
          <w:p w14:paraId="03732F7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自然因素是指个人不能预料和控制的天灾人祸、时空限制、意外事件等，如地震、洪水、交通事故、疾病、死亡等。自然因素造成的挫折每个人随时都可能遇到，其后果可能很严重，对人的影响很大，如亲人去世、因交通事故致残等；也可能不严重，对人只产生暂时的影响，如有些学生刚入学时对当地气候的不适应，不习惯集体住宿等。</w:t>
            </w:r>
          </w:p>
          <w:p w14:paraId="0E1CB92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社会因素是指个人在社会生活中受到的各种人为因素的限制与阻碍，包括政治制度、经济条件、人际关系、宗教信仰、传统观念、风俗习惯、战争动乱等方面。任何人都生活在一定的社会历史条件下，社会生活及其变化对人的影响和限制是无处不在的，因而人们因社会因素而产生的挫折是普遍存在的。当前，随着科学技术的飞速发展，社会生活节奏不断加快，生存竞争日益加剧，使人们的紧张感和心理压力大大增加，挫折感不断增强。</w:t>
            </w:r>
          </w:p>
          <w:p w14:paraId="6B8D881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进入大学以后，大学生面临着一个全新的环境，他们不仅受到自然环境的影响，更多的是受到大学社会环境的影响，如他们要面对繁重的学业、考试的压力和人际关系的冲突等。</w:t>
            </w:r>
          </w:p>
          <w:p w14:paraId="003EBED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（二）个人因素</w:t>
            </w:r>
          </w:p>
          <w:p w14:paraId="2C3E86D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构成挫折的个人因素是指由于个人在生理、心理以及知识、能力等方面的阻碍和限制，使人的需要和目标不能满足和实现而产生挫折，包括自身生理条件、心理水平。如个人身高、体形、容貌、知识结构、健康状况、表达能力、自我期望、经济条件等都可能是挫折源。有些大学生自视较高，有强烈的自尊心，争强好胜和追求完美的心理较强，所以大学生的挫折很多都是来自个人自身因素。</w:t>
            </w:r>
          </w:p>
          <w:p w14:paraId="084EB40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在构成挫折的个人因素中，大学生的自身条件和能力与自我期望之间的矛盾是造成挫折的重要因素。许多大学生往往过于自信，过高地估计自己的能力，对自我发展的预期和要求不是从客观实际情况出发，而是从主观愿望出发，常常对自己提出不切实际的要求，制订过高的甚至无法达到的目标和计划。一旦这些目标和计划因为能力不及无法实现，而自己又不能清醒地认识到这一点，就会产生强烈的挫折感。</w:t>
            </w:r>
          </w:p>
          <w:p w14:paraId="33D7A85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（三）动机冲突</w:t>
            </w:r>
          </w:p>
          <w:p w14:paraId="430B28A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动机冲突也是造成挫折的主要原因，在每个人的生活中经常出现。在现实生活中，人们的需要是多种多样的，常常会因多种需要而产生多个动机，并指向多个目标。当这些并存的动机相互排斥，或者由于种种条件的限制不可能全部实现而必须有所选择时，就形成了动机冲突。动机冲突常常会造成动机部分或全部不能得到满足，同时也就使动机所指向目标受到阻碍，产生挫折感。其表现形式主要有双趋冲突、双避冲突、趋避冲突和双重趋避冲突。</w:t>
            </w:r>
          </w:p>
          <w:p w14:paraId="4FE393C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1. 双趋式冲突</w:t>
            </w:r>
          </w:p>
          <w:p w14:paraId="775A8CA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双趋式冲突是指人们在有目的的活动中，同时有两个并存的具有同样吸引力的目标，而这两个目标因条件所限又无法同时实现，从而产生的难以取舍的冲突情境。“鱼和熊掌不可兼得”。如有些学生在谈恋爱期间同时对两个异性有好感，但只能选择其中的一个而放弃另一个；有些学生想做好社会工作，又不想影响学习等。</w:t>
            </w:r>
          </w:p>
          <w:p w14:paraId="5D8887F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2. 双避式冲突</w:t>
            </w:r>
          </w:p>
          <w:p w14:paraId="3F1BCB0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双避式冲突是指人们同时遇到两个具有相同威胁性的目标，两者都想躲避，但因条件所限而必须选择其一，从而产生左右为难的冲突情境。如“前有悬崖，后有追兵”。</w:t>
            </w:r>
          </w:p>
          <w:p w14:paraId="4351A9C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3. 趋避式冲突</w:t>
            </w:r>
          </w:p>
          <w:p w14:paraId="7AD21E7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趋避式冲突是指人们在面对同一目标时产生的互相矛盾的心态，即这一目标既具有吸引力，能够满足某些需要，同时又具有排斥力，构成某些威胁。如有些学生想参加演讲比赛，但又怕失败有损自尊心；考试时，有些学生因平时没有认真学习和复习害怕考试不及格，于是就产生了作弊的想法，但又怕被监考老师发现受到校纪处分。</w:t>
            </w:r>
          </w:p>
          <w:p w14:paraId="0EEC79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4. 双重趋避式冲突</w:t>
            </w:r>
          </w:p>
          <w:p w14:paraId="3FCC492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双重趋避式冲突是指人们同时遇到两个或两个以上的目标，而每一个目标又同时存在趋避冲突。这种类型是双趋式、双避式冲突的混合类型。如一个学历、能力有限的人，想找份既轻松、收入又高的工作，但事实上，遇到的却是要么是收入高但很辛苦，要么是轻松但收入低的工作。</w:t>
            </w:r>
          </w:p>
          <w:p w14:paraId="2D62A38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三、挫折的性质及其转化</w:t>
            </w:r>
          </w:p>
          <w:p w14:paraId="0BFB552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从挫折产生的基础和过程看，挫折是不可避免的和随时随地都可能发生的，所以，挫折具有必然性和普遍性。同时挫折还具有两面性：一方面，挫折具有消极性，使人失望、痛苦、沮丧，或引起粗暴的消极对抗行为，甚至导致攻击侵犯行为或失去对生活的追求，给自己和他人造成严重损失；另一方面，挫折又具有积极性，给人以教益，使人认识错误，接受教训，磨炼意志。使人更加成熟、坚强，在逆境中奋起，从而获得进一步的发展。</w:t>
            </w:r>
          </w:p>
          <w:p w14:paraId="6B80DB8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挫折的消极性和积极性都是相对的，也是可以转化的。挫折的转化是指当人们遇到挫折时，以积极的态度向挫折学习，将挫折变为动力，以顽强的毅力继续奋斗，或重新调整目标，从而使需要或动机获得新的满足的心理过程和实践过程，即减少挫折的消极因素，积极寻找挫折积极的一面，促使挫折产生的消极因素向积极方面转化。</w:t>
            </w:r>
          </w:p>
          <w:p w14:paraId="653634A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四、大学生常见挫折与反应</w:t>
            </w:r>
          </w:p>
          <w:p w14:paraId="304FD89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（一）大学生常见挫折</w:t>
            </w:r>
          </w:p>
          <w:p w14:paraId="425BA05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不同年龄段和不同类型的人群面对的挫折具有不同的特点。大学生遇到的挫折与大学生活环境和大学生自身特点密切相关，具有鲜明的特点。</w:t>
            </w:r>
          </w:p>
          <w:p w14:paraId="505C2EA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1. 自我认识、自我定位、性心理、恋爱等方面的挫折</w:t>
            </w:r>
          </w:p>
          <w:p w14:paraId="15E0983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大学生正处于人生发展阶段中的青年中后期，这一时期是大学生自我意识形成的关键时期。也是性生理发育日趋成熟的时期。所以大学生遇到的挫折常常与自我认识、自我定位、性心理、恋爱等方面有关。</w:t>
            </w:r>
          </w:p>
          <w:p w14:paraId="34F6D36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2. 人际交往、个人发展方面的挫折</w:t>
            </w:r>
          </w:p>
          <w:p w14:paraId="193AA24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际交往对大学生而言是仅次于学业发展的一项重要的社会需要。大学生都希望获得良好的人际关系，从而维系个人发展与社会需要之间的纽带。大学是一个集体生活环境，同时也是一个学习压力大和竞争激烈的环境。很多大学生都是第一次离开父母和家庭开始独立生活，由于性格或者成长经验的影响，交往技巧方面的欠缺，在人际交往中，往往难以达到理想效果。要么难以抛开自尊、自傲和矜持的面具，要么以错误的方式伸出橄榄枝，反而引起别人的误解。所以，大学生在人际交往中经常会遇到挫折。另一方面，大学生这一群体具有强烈高层次的自我价值实现的需要，也有明确的发展目标，如考研，留校，或毕业谋求得到一个有发展前途、能发挥专业特长、能实现自身价值并且待遇好的职业等，但在现实生活中，却难以事事如愿。尤其是近几年来，高校分配制度进行了一系列的改革，双向选择、人才市场和自谋职业等成为大学生的主要就业渠道，这给大学生就业增加了一些新的选择机会，但是也增加了竞争的压力和失败的风险。有的毕业生在双向选择应聘就业中屡次受挫，体验到较强的挫折感受。毕业发展去向问题成为在校大学生特别是高年级大学生经常考虑的“心事”和常常遇到的实际的或想象的挫折情景。</w:t>
            </w:r>
          </w:p>
          <w:p w14:paraId="0A0BDF1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3. 生活习惯、专业学习、人际关系、经济来源等方面的挫折</w:t>
            </w:r>
          </w:p>
          <w:p w14:paraId="528A8C2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大学是一个不同于中学的新的成长环境，大学生，特别是低年级学生，将面临大量的适应问题，在生活习惯、专业学习、人际关系、经济来源等方面经常会遇到各式各样的挫折。</w:t>
            </w:r>
          </w:p>
          <w:p w14:paraId="46F4890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4. 求职、择业、就业方面的挫折</w:t>
            </w:r>
          </w:p>
          <w:p w14:paraId="77C66B6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大学是为未来职业生涯打基础的阶段，大学生（特别是高年级的学生）越来越关注就业问题，逐年加大的就业压力，给大学生带来的隐性压力不言而喻。对即将毕业的大学生来说，在求职择业过程中也常常会遇到这样或那样的挫折。根据调查，无论是就业岗位、地点、薪酬福利等，大学生的期望一般高于社会提供的范围。所以，在整个就业过程中，大学生都会感到失望、焦虑。</w:t>
            </w:r>
          </w:p>
          <w:p w14:paraId="1C92EA3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（二）大学生的挫折反应特点</w:t>
            </w:r>
          </w:p>
          <w:p w14:paraId="07E689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们在日常的学习生活中，由于主客观条件不同，因此挫折反应也各不相同。需要强调的是，人们在遭遇挫折时的心理与行为反应，有积极的也有消极的，是人们在生活经验中习得的结果，无所谓对错。一般来讲，人们对挫折的反应主要表现在以下三个方面：</w:t>
            </w:r>
          </w:p>
          <w:p w14:paraId="0DFD32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1. 情绪性反应</w:t>
            </w:r>
          </w:p>
          <w:p w14:paraId="0D5D47F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情绪性反应是指人们在受到挫折时伴随着强烈的紧张、愤怒、焦虑等情绪所做出的反应，可能表现为强烈的内心体验，也可能表现为特定的表情或行为反应。情绪性反应多为消极性反应，主要表现为焦虑、冷漠、退行、幻想、逃避、固执、攻击、自杀等。</w:t>
            </w:r>
          </w:p>
          <w:p w14:paraId="05859A1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（1）焦虑</w:t>
            </w:r>
          </w:p>
          <w:p w14:paraId="4A9A350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焦虑是一种模糊的、紧张不安的综合性负面情绪，常常伴随焦急、忧虑、恐惧等感受，甚至可能会出现发冷汗、恶心、心悸、手颤、失眠等神经生理反应。当人们面临心理冲突、情境压力或遇到挫折，或者预感到某种不祥的事情或不良的后果将要发生，或者感到需要付出努力的情境将要来临而又感到没有把握预防和解决时，一般都会产生焦虑情绪。挫折是引起焦虑的重要方面，人们遇到挫折时一般都会表现出某种程度的焦虑情绪。适度的焦虑对于提高工作效率、发挥潜能有一定积极作用。过度焦虑是有害的，严重时会导致心理疾病。学习上的过度焦虑则会抑制思维，分散注意力，影响正常的学习活动和学习效率。对大学生而言，人际关系和学习上的挫折是引起焦虑的主要原因。</w:t>
            </w:r>
          </w:p>
          <w:p w14:paraId="02BF8F4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（2）冷漠</w:t>
            </w:r>
          </w:p>
          <w:p w14:paraId="511910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冷漠是指当个人遇到挫折时表现出的一种无动于衷和漠不关心的态度。这是一种复杂的挫折反应。表面上看，冷漠似乎是逆来顺受，毫无情绪反应，而事实上并不意味着当事人没有反应，而是对挫折更加痛苦的内心体验，只是被压抑或以间接的形式表现了出来。一般情况下，对挫折的冷漠反应是由于一个人长期遭受挫折或感到没有任何希望摆脱或消除困境时产生的。</w:t>
            </w:r>
          </w:p>
          <w:p w14:paraId="4C239A2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（3）退行</w:t>
            </w:r>
          </w:p>
          <w:p w14:paraId="3E73BD4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退行，也叫退化感情、倒退。是指当人们受到挫折时所表现出的与自己年龄和身份不相称的幼稚行为。通常，不同年龄阶段的人，各有其不同的情绪和行为模式。随着年龄的增长，在社会生活方方面面的影响下，人们在情绪和行为方面会日益成熟起来，并逐渐学会控制自己，在适当的场合和适当的时候，做出与自己年龄相符的情绪反应和行为表现。当人们遇到挫折后，一些人在一定程度上会失去对自己的控制，以低于自己年龄的简单、幼稚的方式应对挫折，以求得别人（有时是自己）的同情和关注。而当事人自己常常不能清醒地意识到这种情况。有时，我们会看到某老年妇女在钱被偷后，在大街上捶胸顿足，号啕大哭；平时举止文雅的成人，面临挫折情境时，有时会表现出粗鲁的行为，可能咒骂或大声叫嚷或挥拳相斗；歇斯底里发作的患者，也有退化行为，如满地打滚，甚至故意尿湿衣服等。</w:t>
            </w:r>
          </w:p>
          <w:p w14:paraId="2B4F296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（4）幻想</w:t>
            </w:r>
          </w:p>
          <w:p w14:paraId="0F1880F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幻想是指个人在遇到挫折时企图以自己想象的虚幻情境来应对挫折。任何人都有幻想，大学生又处在多幻想的年龄段，所以大学生的幻想特别多。通过幻想，人们可以暂时脱离现实，在自己想象的情境中满足一些自己的需要和欲望，产生一种愉快和满足的感觉。应该说，当人们遇到挫折时，暂时的幻想，可以使人在一定程度上缓解挫折情绪，偶尔为之，也是正常的。但如果用幻想来应对现实中的挫折，特别是长期处于幻想状态，或养成了从幻想中实现现实生活中实现不了的目标的习惯，就会使人降低对现实生活的适应能力和严重脱离现实生活，甚至可能导致精神疾病。</w:t>
            </w:r>
          </w:p>
          <w:p w14:paraId="3A39DCF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一个大学生在学习中遇到困难，考试失败，他有可能在幻想中想象自己完成了学业，幻想自己在事业上获得了巨大成功，幻想自己处于很高的地位，幻想自己得到了意中人的青睐。现实中的挫折越是使他感到痛苦，幻想中的成功越是使得他得到愉快和满足，他就越有可能逃避现实而遁向幻想。</w:t>
            </w:r>
          </w:p>
          <w:p w14:paraId="675F178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（5）逃避</w:t>
            </w:r>
          </w:p>
          <w:p w14:paraId="1004551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逃避是指个人在遇到挫折或感到可能面临挫折时，不能面对现实、正视挫折，而是以消极的态度躲开挫折和现实的一种挫折反应方式。如有些学生谈恋爱失败后就不敢再谈恋爱；有些学生当众演讲失败，受到别人嘲笑后再也不参加集体活动等。逃避虽然可以使人们降低因挫折产生的紧张感，或者避免再次受到挫折的伤害，但当事人面对的现实问题并没有解决，而有些问题又是不能回避的。所以，逃避常常使人害怕困难，不求进取，长期下去将大大降低人们的适应能力和自信力，甚至可能会导致适应不良。人们逃避挫折的方式各种各样，幻想也可以看做是一种典型的逃避方式。</w:t>
            </w:r>
          </w:p>
          <w:p w14:paraId="6CF0E3D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（6）固执</w:t>
            </w:r>
          </w:p>
          <w:p w14:paraId="00C7ECC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固执是指个人在受到挫折后，采取刻板的方式盲目地反复进行某种单调、机械的无效动作，尽管知道这些动作对目标的达成、需要的满足并无帮助。通常，固执是在一个人反复遭受挫折而又一时无法克服或回避的情况下产生的，过多、过严的惩罚和指责，或者当人处于惊慌失措的状态时也容易产生固执行为。固执行为的特点是呆板无弹性，具有很大的强制性，是在人们遇到挫折后感到无能为力和不知所措时产生的反应方式。所以，这种挫折反应方式并不是不可改变，当人们一旦获得了更适当的反应方式，就会取代固执行为。</w:t>
            </w:r>
          </w:p>
          <w:p w14:paraId="71EC5C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（7）攻击</w:t>
            </w:r>
          </w:p>
          <w:p w14:paraId="443A206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攻击是指当一个人遇到挫折时，为了将愤怒的情绪发泄出去，或者对构成挫折的对象进行报复而产生的攻击性行为。攻击性行为的对象可能是构成挫折的人或物，也可能是其他替代物，还有可能是受挫者自身。攻击性行为的表现形式多种多样，一般分直接攻击和转向攻击两种。直接攻击是指受挫者将愤怒的情绪直接指向构成挫折的人或物，通过动作、表情、言语、文字等形式表现出来。转向攻击是指受挫者感到引起挫折的真正对象不能直接攻击或不便攻击，或者挫折的来源无法确定时，将愤怒的情绪发泄到其他人或物上的一种变相的攻击方式。如有些学生在比赛时没有获得期望中的名次，便乱砸乱摔东西等。</w:t>
            </w:r>
          </w:p>
          <w:p w14:paraId="4706FFF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（8）自杀</w:t>
            </w:r>
          </w:p>
          <w:p w14:paraId="296B28D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自杀是个人遭受挫折后的一种极端反应方式，也可以看做是受挫后针对自身的一种典型的特殊的攻击行为。当一个人受到突然而沉重的挫折打击，或者长期受到挫折的困扰和折磨，感到万念俱灰不能自拔时，可能会产生自暴自弃、轻生厌世的想法，此时若得不到外力的帮助，就可能采取上吊、跳楼、投河、服毒等方式自杀。通常，自杀行为是在挫折的打击大大超出受挫者对挫折的承受能力的情况下发生的，特别是当受挫者将受挫的原因归结为自己，并对自己丧失信心，将自己作为迁怒的对象时更可能导致自杀行为。</w:t>
            </w:r>
          </w:p>
          <w:p w14:paraId="7E74DD8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大学生是同龄人中的佼佼者，成长过程一般都比较顺利，很少遇到大的挫折，他们对挫折的承受能力普遍较低。同时，大学生一般都自视较高、自尊心强，所以，当受到挫折和打击时，有时是很小的挫折，也会诱发自杀行为。如某高校的一名学习成绩十分优秀的女生，得知自己有一门课考试不及格时就跳楼自杀；还有些学生失恋后不能自拔而自杀等。</w:t>
            </w:r>
          </w:p>
          <w:p w14:paraId="2EA5695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2. 理智性反应</w:t>
            </w:r>
          </w:p>
          <w:p w14:paraId="3636E8C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理智性反应是指人们在受到挫折后，采取积极进取的态度，在理智的控制下所做出的反应。通常，人们在遭受挫折后都会出现紧张状态，都会在某种程度上做出某种情绪性反应。其中，有些人始终被情绪所控制不能摆脱，而有些人则能够及时调整，保持冷静，面对现实，审时度势，采取积极的态度和方式对待挫折。所以，理智性反应是对挫折的积极反应方式，主要表现在以下两个方面：</w:t>
            </w:r>
          </w:p>
          <w:p w14:paraId="36E8860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（1）坚持目标，逆境奋起，矢志不渝</w:t>
            </w:r>
          </w:p>
          <w:p w14:paraId="06F4F49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当人们遇到挫折后，经过客观冷静地分析，发现自己所追求的目标是现实的和正确的，当前的挫折只是暂时的，是在实现目标的道路上遇到的一些曲折，经过努力是可以克服和逾越的。所以，应设法排除障碍，克服困难，坚持不懈地朝着既定目标矢志不渝地迈进，直至最终实现自己的愿望和目标。人类社会发展的历史证明，许多科学发现和发明，都是在十分艰苦的条件下，有时还冒着被攻击、迫害甚至丧失生命的危险，几经努力，经过多次失败才获得成功的。大学生大多都有强烈的发展需求和对未来生活的美好愿望，同时，大学生又面临着一个竞争激烈的发展环境，科学技术的飞速发展对每个大学生都提出了更高的要求。所以，大学生在成长过程中不可避免地要遇到各种各样困难的挑战和考验，这就需要大学生在实践中不断提高自己的意志力，培养顽强拼搏的毅力以及敢于面对和战胜困难的勇气。如有些学生为了得到一项实验数据在实验室一蹲就是几天几夜；有些学生家庭贫困但意志坚定，不图虚荣，刻苦学习，奋发成才等。</w:t>
            </w:r>
          </w:p>
          <w:p w14:paraId="2233DB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（2）调整目标，循序渐进，不断努力</w:t>
            </w:r>
          </w:p>
          <w:p w14:paraId="2DF3B43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由于自身条件或社会因素的限制，人们的需要和目标并不是都能满足和实现的，或者在目前的条件下是不可能满足和实现的。因此，人们在实现目标的过程中，几经努力和尝试都失败后，就要冷静下来，认真客观地分析导致失败的真正原因，并根据实际情况对自己的奋斗目标进行适当的调整。一方面，可能自己定的目标太高，不符合目前自己的实际情况，或实现目标的条件尚不具备，需要适当降低目标，或将目标分成几个阶段性目标，并根据实际情况适当变换实现目标的途径和方法，循序渐进，通过不断努力，逐步获得成功。如有些学习基础差的学生，就不能一厢情愿地将目标定为每门课都考优秀，而应考虑首先通过努力使每门课都及格，然后重点在一门或几门课上取得好成绩，最后再努力取得全面进步。另一方面，人们满足需要和实现愿望的途径和方式是多种多样的，一旦遇到挫折，发现原定的目标难以实现时，还可以改换目标，寻找新的能够实现的目标取而代之，同样可以达到满足自身需要的目的。如有些学生在集体活动中想引起同学们的关注和赞赏，就苦练唱歌，但由于自己的嗓音不够圆润，音乐基础又不太好，怎么练都达不到理想的效果，这时就可以考虑练跳舞或演讲等，或许其他方式更符合自己的实际情况，能够取得理想的效果。</w:t>
            </w:r>
          </w:p>
          <w:p w14:paraId="64EAA0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3. 个性的变化</w:t>
            </w:r>
          </w:p>
          <w:p w14:paraId="4E335FB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通常情况下，挫折对人的影响都是暂时的，随着具体挫折情境和条件的改变，随着时间的推移或受挫者认识上的变化，受挫者在受到挫折后所感受到的紧张状态会逐渐消失。但人们在受到挫折后，除了上述直接表现出的挫折反应外，还会出现间接的反应，并对受挫者产生久远的影响，甚至影响到个性的形成与发展。</w:t>
            </w:r>
          </w:p>
          <w:p w14:paraId="7CD8D58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挫折对个性的影响，一般是在人们连续经历挫折，或者遭受特别重大挫折的情况下产生的。由于导致挫折的情境和条件相对稳定并长期持续，由此产生的紧张状态和挫折反应就会反复出现，久而久之这些反应方式就会逐渐固定下来，使受挫者形成了习惯和一些突出的个性特点。如有些学生在儿童时期长期受到父母过分严厉的管教甚至责难、打骂，就易形成畏缩拘谨、胆小怕事、逆来顺受或者倔强执拗、偏执敌对等不良的个性特点；有些学生与同伴不能友好相处，长期处于紧张的人际关系状态之中，就易形成多疑、多虑、孤僻、狭隘、情绪不稳定等个性特点。但是挫折对个性形成与发展也可能产生积极的影响，如经历了重大挫折后，或者长期身处逆境之中，使人养成了坚强、刚毅和不屈不挠的个性特点。</w:t>
            </w:r>
          </w:p>
          <w:p w14:paraId="2F8315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Cs w:val="24"/>
              </w:rPr>
            </w:pPr>
            <w:r>
              <w:rPr>
                <w:rFonts w:hint="eastAsia" w:ascii="Times New Roman" w:hAnsi="Times New Roman" w:cs="Times New Roman"/>
                <w:color w:val="auto"/>
                <w:sz w:val="21"/>
                <w:szCs w:val="22"/>
                <w:lang w:val="en-US" w:eastAsia="zh-CN" w:bidi="ar-SA"/>
              </w:rPr>
              <w:t>总之，挫折对个性的影响在很大程度上取决于人们对挫折的适应情况，对挫折的消极反应如果得不到及时纠正，并在心理和行为上固定下来，就会形成对挫折的适应不良，对受挫者的个性形成与发展就会带来不利的影响。</w:t>
            </w:r>
          </w:p>
          <w:p w14:paraId="1974BCD7">
            <w:pPr>
              <w:spacing w:line="360" w:lineRule="auto"/>
              <w:rPr>
                <w:rFonts w:hint="eastAsia" w:ascii="Times New Roman" w:hAnsi="Times New Roman" w:cs="Times New Roman"/>
                <w:b/>
                <w:sz w:val="21"/>
                <w:szCs w:val="24"/>
                <w:lang w:val="en-US" w:eastAsia="zh-CN" w:bidi="ar-SA"/>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w:t>
            </w:r>
          </w:p>
        </w:tc>
        <w:tc>
          <w:tcPr>
            <w:tcW w:w="1617" w:type="dxa"/>
            <w:tcBorders>
              <w:top w:val="dashSmallGap" w:color="E54C5E" w:themeColor="accent6" w:sz="4" w:space="0"/>
              <w:left w:val="dashSmallGap" w:color="E54C5E" w:themeColor="accent6" w:sz="4" w:space="0"/>
              <w:bottom w:val="dashSmallGap" w:color="E54C5E" w:themeColor="accent6" w:sz="4" w:space="0"/>
            </w:tcBorders>
            <w:shd w:val="clear" w:color="auto" w:fill="auto"/>
            <w:vAlign w:val="center"/>
          </w:tcPr>
          <w:p w14:paraId="58794378">
            <w:pPr>
              <w:spacing w:line="360" w:lineRule="auto"/>
              <w:jc w:val="both"/>
              <w:rPr>
                <w:rFonts w:ascii="Times New Roman" w:hAnsi="Times New Roman"/>
                <w:b/>
                <w:szCs w:val="24"/>
              </w:rPr>
            </w:pPr>
            <w:r>
              <w:rPr>
                <w:rFonts w:hint="eastAsia" w:ascii="Times New Roman Bold" w:hAnsi="Times New Roman Bold"/>
                <w:b w:val="0"/>
                <w:bCs/>
                <w:spacing w:val="6"/>
                <w:sz w:val="21"/>
                <w:szCs w:val="24"/>
                <w:lang w:eastAsia="zh-CN"/>
              </w:rPr>
              <w:t>讲述挫折概述</w:t>
            </w:r>
            <w:r>
              <w:rPr>
                <w:rFonts w:hint="eastAsia" w:ascii="Times New Roman Bold" w:hAnsi="Times New Roman Bold"/>
                <w:b w:val="0"/>
                <w:bCs/>
                <w:spacing w:val="6"/>
                <w:sz w:val="21"/>
                <w:szCs w:val="24"/>
              </w:rPr>
              <w:t>，组织学生讨论</w:t>
            </w:r>
            <w:r>
              <w:rPr>
                <w:rFonts w:hint="eastAsia" w:ascii="Times New Roman Bold" w:hAnsi="Times New Roman Bold"/>
                <w:b w:val="0"/>
                <w:bCs/>
                <w:spacing w:val="6"/>
                <w:sz w:val="21"/>
                <w:szCs w:val="24"/>
                <w:lang w:eastAsia="zh-CN"/>
              </w:rPr>
              <w:t>心理含义</w:t>
            </w:r>
            <w:r>
              <w:rPr>
                <w:rFonts w:hint="eastAsia" w:ascii="Times New Roman Bold" w:hAnsi="Times New Roman Bold"/>
                <w:b w:val="0"/>
                <w:bCs/>
                <w:spacing w:val="6"/>
                <w:sz w:val="21"/>
                <w:szCs w:val="24"/>
              </w:rPr>
              <w:t>，了解</w:t>
            </w:r>
            <w:r>
              <w:rPr>
                <w:rFonts w:hint="eastAsia" w:ascii="Times New Roman Bold" w:hAnsi="Times New Roman Bold"/>
                <w:b w:val="0"/>
                <w:bCs/>
                <w:spacing w:val="6"/>
                <w:sz w:val="21"/>
                <w:szCs w:val="24"/>
                <w:lang w:eastAsia="zh-CN"/>
              </w:rPr>
              <w:t>什么是挫折</w:t>
            </w:r>
            <w:r>
              <w:rPr>
                <w:rFonts w:hint="eastAsia" w:ascii="Times New Roman Bold" w:hAnsi="Times New Roman Bold"/>
                <w:b w:val="0"/>
                <w:bCs/>
                <w:spacing w:val="6"/>
                <w:sz w:val="21"/>
                <w:szCs w:val="24"/>
              </w:rPr>
              <w:t>，进一步增强学生对</w:t>
            </w:r>
            <w:r>
              <w:rPr>
                <w:rFonts w:hint="eastAsia" w:ascii="Times New Roman Bold" w:hAnsi="Times New Roman Bold"/>
                <w:b w:val="0"/>
                <w:bCs/>
                <w:spacing w:val="6"/>
                <w:sz w:val="21"/>
                <w:szCs w:val="24"/>
                <w:lang w:eastAsia="zh-CN"/>
              </w:rPr>
              <w:t>心理学的认知</w:t>
            </w:r>
            <w:r>
              <w:rPr>
                <w:rFonts w:hint="eastAsia" w:ascii="Times New Roman Bold" w:hAnsi="Times New Roman Bold"/>
                <w:b w:val="0"/>
                <w:bCs/>
                <w:spacing w:val="6"/>
                <w:sz w:val="21"/>
                <w:szCs w:val="24"/>
              </w:rPr>
              <w:t>。</w:t>
            </w:r>
          </w:p>
        </w:tc>
      </w:tr>
      <w:tr w14:paraId="37E74533">
        <w:trPr>
          <w:trHeight w:val="567" w:hRule="atLeast"/>
          <w:jc w:val="center"/>
        </w:trPr>
        <w:tc>
          <w:tcPr>
            <w:tcW w:w="1538" w:type="dxa"/>
            <w:tcBorders>
              <w:top w:val="dashSmallGap" w:color="E54C5E" w:themeColor="accent6" w:sz="4" w:space="0"/>
              <w:bottom w:val="dashSmallGap" w:color="4874CB" w:themeColor="accent1" w:sz="4" w:space="0"/>
              <w:right w:val="dashSmallGap" w:color="F4B382" w:themeColor="accent2" w:themeTint="99" w:sz="4" w:space="0"/>
            </w:tcBorders>
            <w:shd w:val="clear" w:color="auto" w:fill="FBE6D6" w:themeFill="accent2" w:themeFillTint="32"/>
            <w:vAlign w:val="center"/>
          </w:tcPr>
          <w:p w14:paraId="74CE112B">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继续探索</w:t>
            </w:r>
          </w:p>
          <w:p w14:paraId="745A2807">
            <w:pPr>
              <w:spacing w:line="360" w:lineRule="auto"/>
              <w:jc w:val="center"/>
              <w:rPr>
                <w:rFonts w:ascii="Times New Roman" w:hAnsi="Times New Roman"/>
              </w:rPr>
            </w:pPr>
            <w:r>
              <w:rPr>
                <w:rFonts w:ascii="Times New Roman" w:hAnsi="Times New Roman"/>
                <w:color w:val="843F0B" w:themeColor="accent2" w:themeShade="80"/>
                <w:szCs w:val="24"/>
              </w:rPr>
              <w:t>（</w:t>
            </w:r>
            <w:r>
              <w:rPr>
                <w:rFonts w:hint="eastAsia" w:ascii="Times New Roman" w:hAnsi="Times New Roman"/>
                <w:color w:val="843F0B" w:themeColor="accent2" w:themeShade="80"/>
                <w:szCs w:val="24"/>
                <w:lang w:val="en-US" w:eastAsia="zh-CN"/>
              </w:rPr>
              <w:t>40</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ashSmallGap" w:color="E54C5E" w:themeColor="accent6" w:sz="4" w:space="0"/>
              <w:left w:val="dashSmallGap" w:color="F4B382" w:themeColor="accent2" w:themeTint="99" w:sz="4" w:space="0"/>
              <w:bottom w:val="dashSmallGap" w:color="4874CB" w:themeColor="accent1" w:sz="4" w:space="0"/>
              <w:right w:val="dashSmallGap" w:color="F4B382" w:themeColor="accent2" w:themeTint="99" w:sz="4" w:space="0"/>
            </w:tcBorders>
            <w:vAlign w:val="center"/>
          </w:tcPr>
          <w:p w14:paraId="3D71E32C">
            <w:pPr>
              <w:widowControl/>
              <w:spacing w:line="360" w:lineRule="auto"/>
              <w:rPr>
                <w:rFonts w:hint="eastAsia" w:ascii="Times New Roman" w:hAnsi="Times New Roman" w:eastAsia="宋体"/>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lang w:val="en-US" w:eastAsia="zh-CN"/>
              </w:rPr>
              <w:t>讲解大学生挫折调适方法与技术</w:t>
            </w:r>
          </w:p>
          <w:p w14:paraId="01AFBEED">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一、社会、学校要努力帮助大学生战胜挫折</w:t>
            </w:r>
          </w:p>
          <w:p w14:paraId="22BEDD3E">
            <w:pPr>
              <w:widowControl/>
              <w:spacing w:line="360" w:lineRule="auto"/>
              <w:ind w:left="-19" w:leftChars="-9" w:firstLine="438" w:firstLineChars="209"/>
              <w:rPr>
                <w:rFonts w:hint="eastAsia" w:ascii="Times New Roman" w:hAnsi="Times New Roman"/>
              </w:rPr>
            </w:pPr>
            <w:r>
              <w:rPr>
                <w:rFonts w:hint="eastAsia" w:ascii="Times New Roman" w:hAnsi="Times New Roman"/>
              </w:rPr>
              <w:t>对于受教育的大学生而言，社会、学校对他们的健康成长具有不可推脱、无可非议的责任。首先应该充分认识到大学生是一个特殊的社会群体。他们虽然身体已经发育成熟，但心理尚未成熟；他们是正在高校中接受高级专门知识的青年，受教育是他们的中心内容；由于他们刚刚步入社会缺乏正反两方面的社会经验的体验，更缺乏面对挫折、战胜挫折的勇气、方法，所以应该对受挫大学生的行为表现持宽容态度，加强对 90 后大学生的挫折教育，通过开展心理健康教育和心理咨询，积极疏导，形成学校、家庭、社会“三位一体”的挫折教育网，积极帮助大学生摆脱困境，战胜挫折。</w:t>
            </w:r>
          </w:p>
          <w:p w14:paraId="04E01C82">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二、大学生挫折自我调适方法与技术</w:t>
            </w:r>
          </w:p>
          <w:p w14:paraId="7DEAB4A7">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（一）树立正确的挫折观</w:t>
            </w:r>
          </w:p>
          <w:p w14:paraId="02CD5CF6">
            <w:pPr>
              <w:widowControl/>
              <w:spacing w:line="360" w:lineRule="auto"/>
              <w:ind w:left="-19" w:leftChars="-9" w:firstLine="438" w:firstLineChars="209"/>
              <w:rPr>
                <w:rFonts w:hint="eastAsia" w:ascii="Times New Roman" w:hAnsi="Times New Roman"/>
              </w:rPr>
            </w:pPr>
            <w:r>
              <w:rPr>
                <w:rFonts w:hint="eastAsia" w:ascii="Times New Roman" w:hAnsi="Times New Roman"/>
              </w:rPr>
              <w:t>正确认识挫折，是大学生战胜挫折的先导和前提。人的生活和工作不可能一帆风顺，人生遇到各种挫折是不可避免的，挫折是我们生活的组成部分。因此，大学生应做好面对挫折的充分的心理准备，一旦遇到挫折，就不会惊慌失措，痛苦绝望，而能够正视现实，敢于面对挫折的挑战。同时，也应该看到，挫折也并不是总发生的，生活中还有很多快乐、幸运和幸福的事情。所以，大学生在遇到挫折时，不应只看到挫折带来的损失和痛苦，还应看到自己的优点和已取得的成绩，不应始终停留在挫折产生的不良情绪之中，而应尽快从痛苦中解脱出来，以理智面对挫折。</w:t>
            </w:r>
          </w:p>
          <w:p w14:paraId="025A88AA">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（二）积极投身实践活动，不断磨炼自己和积累经验</w:t>
            </w:r>
          </w:p>
          <w:p w14:paraId="5E450C6A">
            <w:pPr>
              <w:widowControl/>
              <w:spacing w:line="360" w:lineRule="auto"/>
              <w:ind w:left="-19" w:leftChars="-9" w:firstLine="438" w:firstLineChars="209"/>
              <w:rPr>
                <w:rFonts w:hint="eastAsia" w:ascii="Times New Roman" w:hAnsi="Times New Roman"/>
              </w:rPr>
            </w:pPr>
            <w:r>
              <w:rPr>
                <w:rFonts w:hint="eastAsia" w:ascii="Times New Roman" w:hAnsi="Times New Roman"/>
              </w:rPr>
              <w:t>挫折具有两面性，生活中的挫折和磨难并不都是坏事。平静、安逸、舒适的生活，往往使人安于现状；挫折和磨难，却使人受到磨炼和考验，变得更加成熟和坚强。因此，大学生应积极投身实践活动，在实践中不断磨炼自己，提高自己的意志力，培养坚强的意志品质。在实践过程中，不要惧怕失败，要善于从失败中总结经验教训，化消极因素为积极因素，使挫折向积极方向转化，不断提高自己解决困难、战胜挫折的能力。在总结经验教训时，应着重考虑确定的奋斗目标是否恰当、实施的途径和方法是否正确、造成挫折的原因来自何处、转败为胜的办法在哪里。</w:t>
            </w:r>
          </w:p>
          <w:p w14:paraId="3FBE295C">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（三）改变不合理的认知观念</w:t>
            </w:r>
          </w:p>
          <w:p w14:paraId="206F70C7">
            <w:pPr>
              <w:widowControl/>
              <w:spacing w:line="360" w:lineRule="auto"/>
              <w:ind w:left="-19" w:leftChars="-9" w:firstLine="438" w:firstLineChars="209"/>
              <w:rPr>
                <w:rFonts w:hint="eastAsia" w:ascii="Times New Roman" w:hAnsi="Times New Roman"/>
              </w:rPr>
            </w:pPr>
            <w:r>
              <w:rPr>
                <w:rFonts w:hint="eastAsia" w:ascii="Times New Roman" w:hAnsi="Times New Roman"/>
              </w:rPr>
              <w:t>心理学研究表明，引起强烈挫折感的与其说是挫折、冲突，不如说是受挫者对所受挫折的看法，以及所采取的态度。也就是说，挫折带来的真正威胁，不在于发生的、不可挽回的挫折本身，而在于对挫折如何认识、如何承受和如何行动。大学生因挫折陷入心理困境，很大程度上是因为认识方面的偏差。常见的不合理观念有：</w:t>
            </w:r>
          </w:p>
          <w:p w14:paraId="058B0E47">
            <w:pPr>
              <w:widowControl/>
              <w:spacing w:line="360" w:lineRule="auto"/>
              <w:ind w:left="-19" w:leftChars="-9" w:firstLine="438" w:firstLineChars="209"/>
              <w:rPr>
                <w:rFonts w:hint="eastAsia" w:ascii="Times New Roman" w:hAnsi="Times New Roman"/>
              </w:rPr>
            </w:pPr>
            <w:r>
              <w:rPr>
                <w:rFonts w:hint="eastAsia" w:ascii="Times New Roman" w:hAnsi="Times New Roman"/>
              </w:rPr>
              <w:t>（1）此事不该发生。有些人把生活中的不顺利，学习、交往中的挫折、失败看做是不应该发生的。他们认为，生活应该是愉快的、丰富的，人际关系应该是和谐的、互助的。一旦生活中出现诸如人际关系方面的冲突，成绩滑坡，好友负心，评不上优秀等事件，就认为它不应该发生，而变得烦躁易怒、束手无策、痛苦不堪、失去信心。</w:t>
            </w:r>
          </w:p>
          <w:p w14:paraId="4670060F">
            <w:pPr>
              <w:widowControl/>
              <w:spacing w:line="360" w:lineRule="auto"/>
              <w:ind w:left="-19" w:leftChars="-9" w:firstLine="438" w:firstLineChars="209"/>
              <w:rPr>
                <w:rFonts w:hint="eastAsia" w:ascii="Times New Roman" w:hAnsi="Times New Roman"/>
              </w:rPr>
            </w:pPr>
            <w:r>
              <w:rPr>
                <w:rFonts w:hint="eastAsia" w:ascii="Times New Roman" w:hAnsi="Times New Roman"/>
              </w:rPr>
              <w:t>（2）以偏概全。有些人常常以片面的思维方式看待事物，简单地以个别事件来断言全部生活，一叶障目。例如，有人对自己不友好，就得出结论说自己人缘不好或缺乏交往能力；一次考试不如意，就认为自己彻底失败，不是读书的材料；一次失恋就认为自己对异性没有吸引力等，从而导致自责自怨、自卑自弃的心理。以偏概全不仅表现在对自己的认识上，也表现在对他人、对社会的认识中。例如，因一事有错而对他人全盘否定；因社会有缺陷，存在阴暗面，就看不到光明，而彻底丧失信心。</w:t>
            </w:r>
          </w:p>
          <w:p w14:paraId="66138547">
            <w:pPr>
              <w:widowControl/>
              <w:spacing w:line="360" w:lineRule="auto"/>
              <w:ind w:left="-19" w:leftChars="-9" w:firstLine="438" w:firstLineChars="209"/>
              <w:rPr>
                <w:rFonts w:hint="eastAsia" w:ascii="Times New Roman" w:hAnsi="Times New Roman"/>
              </w:rPr>
            </w:pPr>
            <w:r>
              <w:rPr>
                <w:rFonts w:hint="eastAsia" w:ascii="Times New Roman" w:hAnsi="Times New Roman"/>
              </w:rPr>
              <w:t>（3）无限夸大后果。有些人遇到的是一些小挫折，却把后果想象得非常糟糕、可怕。夸大后果的结果是使人越想越消沉，情绪越来越恶劣，最后难以自拔。例如，一门功课考试不及格，就认为自己能力不行，学不下去，毕不了业，找不到工作，人生没前途，生命没价值。这实际上是一种自己吓唬自己，给自己施加压力的做法。</w:t>
            </w:r>
          </w:p>
          <w:p w14:paraId="21E12957">
            <w:pPr>
              <w:widowControl/>
              <w:spacing w:line="360" w:lineRule="auto"/>
              <w:ind w:left="-19" w:leftChars="-9" w:firstLine="438" w:firstLineChars="209"/>
              <w:rPr>
                <w:rFonts w:hint="eastAsia" w:ascii="Times New Roman" w:hAnsi="Times New Roman"/>
              </w:rPr>
            </w:pPr>
            <w:r>
              <w:rPr>
                <w:rFonts w:hint="eastAsia" w:ascii="Times New Roman" w:hAnsi="Times New Roman"/>
              </w:rPr>
              <w:t>除此之外还有许多其他不合理的认知，比如极端思维，即看问题的方式非黑即白，没有中间色彩；任意推断，即在证据不充分或缺乏时草率下结论。这些不合理的、歪曲的认知使人心理挫折加重，只有改变这些不良的认知方式，纠正错误的观念，才能实事求是地评价挫折带来的后果，从困难中看到希望，走出困境。这在心理治疗中被称之为“认知转变法”。</w:t>
            </w:r>
          </w:p>
          <w:p w14:paraId="00891E4B">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（四）优化自身人格品质</w:t>
            </w:r>
          </w:p>
          <w:p w14:paraId="57D17294">
            <w:pPr>
              <w:widowControl/>
              <w:spacing w:line="360" w:lineRule="auto"/>
              <w:ind w:left="-19" w:leftChars="-9" w:firstLine="438" w:firstLineChars="209"/>
              <w:rPr>
                <w:rFonts w:hint="eastAsia" w:ascii="Times New Roman" w:hAnsi="Times New Roman"/>
              </w:rPr>
            </w:pPr>
            <w:r>
              <w:rPr>
                <w:rFonts w:hint="eastAsia" w:ascii="Times New Roman" w:hAnsi="Times New Roman"/>
              </w:rPr>
              <w:t>挫折承受力与人格特征有关。以下几种人格类型的人常常容易引起挫折感。①性情急躁的人。他们情绪变化大，易动怒，火爆脾气一点就着，常常因为一点芝麻绿豆的事而引起挫折感。②心胸狭窄的人。他们气量小、好猜疑，喜欢斤斤计较，容易产生消极的情感。③意志薄弱的人。他们做事缺乏耐力和持久性，患得患失，害怕困难，只看眼前利益，经不起打击和挫折。④自我偏颇的人。他们缺乏自知之明，或者自高自大、目空一切，或者自卑自贱、畏首畏尾。</w:t>
            </w:r>
          </w:p>
          <w:p w14:paraId="52B7F935">
            <w:pPr>
              <w:widowControl/>
              <w:spacing w:line="360" w:lineRule="auto"/>
              <w:ind w:left="-19" w:leftChars="-9" w:firstLine="438" w:firstLineChars="209"/>
              <w:rPr>
                <w:rFonts w:hint="eastAsia" w:ascii="Times New Roman" w:hAnsi="Times New Roman"/>
              </w:rPr>
            </w:pPr>
            <w:r>
              <w:rPr>
                <w:rFonts w:hint="eastAsia" w:ascii="Times New Roman" w:hAnsi="Times New Roman"/>
              </w:rPr>
              <w:t>为了提高挫折承受能力，大学生应主动培养自己良好的人格品质，改变那些不适应发展的不良的人格品质，培养自信乐观、自强不息、宽容豁达、开拓创新等品质。自信才能乐观，乐观才能自信，两者相辅相成。当遇到挫折、困境时，如果相信自己一定能取胜，那就会积极地去改变现实，克服困难，战胜挫折，这是自信的作用。乐观者在面临挫折、困境时，不会被眼前的困难吓倒，而是能够透过表面的不利看到蕴藏在背后的希望，相信明天是美好的，从而信心十足地去战胜困难。</w:t>
            </w:r>
          </w:p>
          <w:p w14:paraId="4D1224B0">
            <w:pPr>
              <w:widowControl/>
              <w:spacing w:line="360" w:lineRule="auto"/>
              <w:ind w:left="-19" w:leftChars="-9" w:firstLine="439" w:firstLineChars="209"/>
              <w:rPr>
                <w:rFonts w:hint="eastAsia" w:ascii="Times New Roman" w:hAnsi="Times New Roman"/>
              </w:rPr>
            </w:pPr>
            <w:r>
              <w:rPr>
                <w:rFonts w:hint="eastAsia" w:ascii="Times New Roman" w:hAnsi="Times New Roman"/>
                <w:b/>
                <w:bCs/>
              </w:rPr>
              <w:t>（五）学习心理调适技巧，主动寻求社会支持和专业帮助</w:t>
            </w:r>
          </w:p>
          <w:p w14:paraId="13F51FC7">
            <w:pPr>
              <w:widowControl/>
              <w:spacing w:line="360" w:lineRule="auto"/>
              <w:ind w:left="-19" w:leftChars="-9" w:firstLine="438" w:firstLineChars="209"/>
              <w:rPr>
                <w:rFonts w:hint="eastAsia" w:ascii="Times New Roman" w:hAnsi="Times New Roman"/>
              </w:rPr>
            </w:pPr>
            <w:r>
              <w:rPr>
                <w:rFonts w:hint="eastAsia" w:ascii="Times New Roman" w:hAnsi="Times New Roman"/>
              </w:rPr>
              <w:t>学习一些自我心理调适方法可以有效地化解因挫折而产生的焦虑、紧张等不良情绪，从而提高挫折承受力。常用的自我心理调适方法有自我暗示法、放松调节法、想象脱敏法、想象调节法和呼吸调节法等。</w:t>
            </w:r>
          </w:p>
          <w:p w14:paraId="15FDEF04">
            <w:pPr>
              <w:widowControl/>
              <w:spacing w:line="360" w:lineRule="auto"/>
              <w:ind w:left="-19" w:leftChars="-9" w:firstLine="438" w:firstLineChars="209"/>
              <w:rPr>
                <w:rFonts w:hint="eastAsia" w:ascii="Times New Roman" w:hAnsi="Times New Roman"/>
              </w:rPr>
            </w:pPr>
            <w:r>
              <w:rPr>
                <w:rFonts w:hint="eastAsia" w:ascii="Times New Roman" w:hAnsi="Times New Roman"/>
              </w:rPr>
              <w:t>提高挫折承受力，还应建立和谐的人际关系，营造自己的情感社会支持系统。当人遇到挫折时，一般都伴有强烈的情绪反应，处于焦虑和痛苦之中，这时，如果有几个好朋友或者亲友能够给予安慰、关心、支持、鼓励和信任，将能有效地缓解心理压力和降低情绪反应，从而增强对挫折的承受力。所以，大学生在遇到挫折时，不应将自己封闭起来，而应尽快找自己的好朋友和家人进行沟通，寻求他们的支持和帮助。</w:t>
            </w:r>
          </w:p>
          <w:p w14:paraId="2CC1CD31">
            <w:pPr>
              <w:widowControl/>
              <w:spacing w:line="360" w:lineRule="auto"/>
              <w:ind w:left="-19" w:leftChars="-9" w:firstLine="438" w:firstLineChars="209"/>
              <w:rPr>
                <w:rFonts w:hint="eastAsia" w:ascii="Times New Roman" w:hAnsi="Times New Roman"/>
              </w:rPr>
            </w:pPr>
            <w:r>
              <w:rPr>
                <w:rFonts w:hint="eastAsia" w:ascii="Times New Roman" w:hAnsi="Times New Roman"/>
              </w:rPr>
              <w:t>当一个人受到挫折后陷入不良情绪中不能自拔时，还可以寻求心理咨询师系统专业地疏导和帮助。通过心理咨询，受挫者在心理咨询师的引导下，化解不良情绪和行为反应，校正主观认识，发挥内在潜力，消除心理障碍，明确前进方向，最终获得心理上的成长，提高挫折承受力。</w:t>
            </w:r>
          </w:p>
          <w:p w14:paraId="58B56424">
            <w:pPr>
              <w:widowControl/>
              <w:spacing w:line="360" w:lineRule="auto"/>
              <w:ind w:left="-19" w:leftChars="-9" w:firstLine="438" w:firstLineChars="209"/>
              <w:rPr>
                <w:rFonts w:hint="eastAsia" w:ascii="Times New Roman" w:hAnsi="Times New Roman"/>
              </w:rPr>
            </w:pPr>
            <w:r>
              <w:rPr>
                <w:rFonts w:hint="eastAsia" w:ascii="Times New Roman" w:hAnsi="Times New Roman"/>
              </w:rPr>
              <w:t>总之，大学生的学习生活不是一帆风顺的，挫折是多种多样的，应对挫折的方法也是灵活多变的。大学生应该学习挫折理论，掌握应对方法，培养健全人格，提高抗挫能力，增强心理健康水平，使自己在战胜挫折的过程中得到更充分更全面的发展。</w:t>
            </w:r>
          </w:p>
          <w:p w14:paraId="041A209B">
            <w:pPr>
              <w:widowControl/>
              <w:spacing w:line="360" w:lineRule="auto"/>
              <w:rPr>
                <w:rFonts w:ascii="Times New Roman" w:hAnsi="Times New Roman"/>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tc>
        <w:tc>
          <w:tcPr>
            <w:tcW w:w="1617" w:type="dxa"/>
            <w:tcBorders>
              <w:top w:val="dashSmallGap" w:color="E54C5E" w:themeColor="accent6" w:sz="4" w:space="0"/>
              <w:left w:val="dashSmallGap" w:color="F4B382" w:themeColor="accent2" w:themeTint="99" w:sz="4" w:space="0"/>
              <w:bottom w:val="dashSmallGap" w:color="4874CB" w:themeColor="accent1" w:sz="4" w:space="0"/>
            </w:tcBorders>
            <w:shd w:val="clear" w:color="auto" w:fill="auto"/>
            <w:vAlign w:val="center"/>
          </w:tcPr>
          <w:p w14:paraId="56BF8B81">
            <w:pPr>
              <w:spacing w:line="360" w:lineRule="auto"/>
              <w:jc w:val="both"/>
              <w:rPr>
                <w:rFonts w:ascii="Times New Roman" w:hAnsi="Times New Roman"/>
                <w:b/>
                <w:szCs w:val="24"/>
              </w:rPr>
            </w:pPr>
            <w:r>
              <w:rPr>
                <w:rFonts w:hint="eastAsia" w:ascii="Times New Roman" w:hAnsi="Times New Roman"/>
                <w:b w:val="0"/>
                <w:bCs/>
                <w:spacing w:val="6"/>
                <w:sz w:val="21"/>
                <w:szCs w:val="24"/>
              </w:rPr>
              <w:t>通过</w:t>
            </w:r>
            <w:r>
              <w:rPr>
                <w:rFonts w:hint="eastAsia" w:ascii="Times New Roman" w:hAnsi="Times New Roman"/>
                <w:b w:val="0"/>
                <w:bCs/>
                <w:spacing w:val="6"/>
                <w:sz w:val="21"/>
                <w:szCs w:val="24"/>
                <w:lang w:eastAsia="zh-CN"/>
              </w:rPr>
              <w:t>分享见解</w:t>
            </w:r>
            <w:r>
              <w:rPr>
                <w:rFonts w:hint="eastAsia" w:ascii="Times New Roman" w:hAnsi="Times New Roman"/>
                <w:b w:val="0"/>
                <w:bCs/>
                <w:spacing w:val="6"/>
                <w:sz w:val="21"/>
                <w:szCs w:val="24"/>
              </w:rPr>
              <w:t>，带领学生</w:t>
            </w:r>
            <w:r>
              <w:rPr>
                <w:rFonts w:hint="eastAsia" w:ascii="Times New Roman" w:hAnsi="Times New Roman"/>
                <w:b w:val="0"/>
                <w:bCs/>
                <w:spacing w:val="6"/>
                <w:sz w:val="21"/>
                <w:szCs w:val="24"/>
                <w:lang w:eastAsia="zh-CN"/>
              </w:rPr>
              <w:t>进一步了解大学生挫折调适方法与技术</w:t>
            </w:r>
            <w:r>
              <w:rPr>
                <w:rFonts w:hint="eastAsia" w:ascii="Times New Roman" w:hAnsi="Times New Roman"/>
                <w:b w:val="0"/>
                <w:bCs/>
                <w:spacing w:val="6"/>
                <w:sz w:val="21"/>
                <w:szCs w:val="24"/>
              </w:rPr>
              <w:t>，客观直接展示大学生挫折调适方法与技术的基础知识。</w:t>
            </w:r>
          </w:p>
        </w:tc>
      </w:tr>
      <w:tr w14:paraId="735D45C3">
        <w:trPr>
          <w:trHeight w:val="567" w:hRule="atLeast"/>
          <w:jc w:val="center"/>
        </w:trPr>
        <w:tc>
          <w:tcPr>
            <w:tcW w:w="1538" w:type="dxa"/>
            <w:tcBorders>
              <w:top w:val="dashSmallGap" w:color="4874CB" w:themeColor="accent1" w:sz="4" w:space="0"/>
              <w:bottom w:val="dashSmallGap" w:color="F4B382" w:themeColor="accent2" w:themeTint="99" w:sz="4" w:space="0"/>
              <w:right w:val="dashSmallGap" w:color="E54C5E" w:themeColor="accent6" w:sz="4" w:space="0"/>
            </w:tcBorders>
            <w:shd w:val="clear" w:color="auto" w:fill="F9DBDF" w:themeFill="accent6" w:themeFillTint="32"/>
            <w:vAlign w:val="center"/>
          </w:tcPr>
          <w:p w14:paraId="1536DAC2">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51321" w:themeColor="accent6" w:themeShade="80"/>
                <w:sz w:val="24"/>
                <w:szCs w:val="24"/>
              </w:rPr>
              <w:t>课堂小结</w:t>
            </w:r>
          </w:p>
          <w:p w14:paraId="6822D827">
            <w:pPr>
              <w:spacing w:line="360" w:lineRule="auto"/>
              <w:jc w:val="center"/>
              <w:rPr>
                <w:rFonts w:ascii="Times New Roman" w:hAnsi="Times New Roman"/>
                <w:color w:val="249087" w:themeColor="accent5" w:themeShade="BF"/>
              </w:rPr>
            </w:pPr>
            <w:r>
              <w:rPr>
                <w:rFonts w:ascii="Times New Roman" w:hAnsi="Times New Roman"/>
                <w:color w:val="851321" w:themeColor="accent6" w:themeShade="80"/>
                <w:szCs w:val="24"/>
              </w:rPr>
              <w:t>（3</w:t>
            </w:r>
            <w:r>
              <w:rPr>
                <w:rFonts w:hint="eastAsia" w:ascii="Times New Roman" w:hAnsi="Times New Roman"/>
                <w:color w:val="851321" w:themeColor="accent6" w:themeShade="80"/>
                <w:szCs w:val="24"/>
              </w:rPr>
              <w:t>min</w:t>
            </w:r>
            <w:r>
              <w:rPr>
                <w:rFonts w:ascii="Times New Roman" w:hAnsi="Times New Roman"/>
                <w:color w:val="851321" w:themeColor="accent6" w:themeShade="80"/>
                <w:szCs w:val="24"/>
              </w:rPr>
              <w:t>）</w:t>
            </w:r>
          </w:p>
        </w:tc>
        <w:tc>
          <w:tcPr>
            <w:tcW w:w="7050" w:type="dxa"/>
            <w:tcBorders>
              <w:top w:val="dashSmallGap" w:color="4874CB" w:themeColor="accent1" w:sz="4" w:space="0"/>
              <w:left w:val="dashSmallGap" w:color="E54C5E" w:themeColor="accent6" w:sz="4" w:space="0"/>
              <w:bottom w:val="dashSmallGap" w:color="F4B382" w:themeColor="accent2" w:themeTint="99" w:sz="4" w:space="0"/>
              <w:right w:val="dashSmallGap" w:color="E54C5E" w:themeColor="accent6" w:sz="4" w:space="0"/>
            </w:tcBorders>
            <w:shd w:val="clear" w:color="auto" w:fill="F8FFF5"/>
            <w:vAlign w:val="center"/>
          </w:tcPr>
          <w:p w14:paraId="1EAEBC0A">
            <w:pPr>
              <w:spacing w:line="360"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14:paraId="5643C477">
            <w:pPr>
              <w:spacing w:line="360" w:lineRule="auto"/>
              <w:ind w:firstLine="420" w:firstLineChars="200"/>
              <w:rPr>
                <w:rFonts w:hint="eastAsia" w:ascii="Times New Roman" w:hAnsi="Times New Roman" w:eastAsia="宋体"/>
                <w:b/>
                <w:lang w:eastAsia="zh-CN"/>
              </w:rPr>
            </w:pPr>
            <w:r>
              <w:rPr>
                <w:rFonts w:hint="eastAsia" w:ascii="Times New Roman" w:hAnsi="Times New Roman"/>
                <w:b/>
              </w:rPr>
              <w:t>这节课</w:t>
            </w:r>
            <w:r>
              <w:rPr>
                <w:rFonts w:ascii="Times New Roman" w:hAnsi="Times New Roman"/>
                <w:b/>
              </w:rPr>
              <w:t>上一起学习了</w:t>
            </w:r>
            <w:r>
              <w:rPr>
                <w:rFonts w:hint="eastAsia" w:ascii="宋体" w:hAnsi="宋体" w:cs="宋体"/>
                <w:b/>
                <w:kern w:val="0"/>
                <w:szCs w:val="24"/>
              </w:rPr>
              <w:t>大学生挫折调适方法与技术</w:t>
            </w:r>
            <w:r>
              <w:rPr>
                <w:rFonts w:hint="eastAsia" w:ascii="Times New Roman" w:hAnsi="Times New Roman"/>
                <w:b/>
              </w:rPr>
              <w:t>。因此明白了大学生要想获得发展，实现自己的远大理想和奋斗目标，就必须在实践中不断磨炼自己，努力提高自己的挫折承受力和意志力。</w:t>
            </w:r>
          </w:p>
          <w:p w14:paraId="4133753C">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617" w:type="dxa"/>
            <w:tcBorders>
              <w:top w:val="dashSmallGap" w:color="4874CB" w:themeColor="accent1" w:sz="4" w:space="0"/>
              <w:left w:val="dashSmallGap" w:color="E54C5E" w:themeColor="accent6" w:sz="4" w:space="0"/>
              <w:bottom w:val="dashSmallGap" w:color="F4B382" w:themeColor="accent2" w:themeTint="99" w:sz="4" w:space="0"/>
            </w:tcBorders>
            <w:shd w:val="clear" w:color="auto" w:fill="F8FFF5"/>
            <w:vAlign w:val="center"/>
          </w:tcPr>
          <w:p w14:paraId="0BF15564">
            <w:pPr>
              <w:spacing w:line="360" w:lineRule="auto"/>
              <w:rPr>
                <w:rFonts w:ascii="Times New Roman" w:hAnsi="Times New Roman"/>
                <w:b w:val="0"/>
                <w:bCs/>
              </w:rPr>
            </w:pPr>
            <w:r>
              <w:rPr>
                <w:rFonts w:hint="eastAsia" w:ascii="Times New Roman" w:hAnsi="Times New Roman"/>
                <w:b w:val="0"/>
                <w:bCs/>
              </w:rPr>
              <w:t>通过对所学知识的回顾，培养学生的归纳总结能力。</w:t>
            </w:r>
          </w:p>
        </w:tc>
      </w:tr>
      <w:tr w14:paraId="0F70CB26">
        <w:trPr>
          <w:trHeight w:val="567" w:hRule="atLeast"/>
          <w:jc w:val="center"/>
        </w:trPr>
        <w:tc>
          <w:tcPr>
            <w:tcW w:w="1538" w:type="dxa"/>
            <w:tcBorders>
              <w:top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E3F2D9" w:themeFill="accent4" w:themeFillTint="32"/>
            <w:vAlign w:val="center"/>
          </w:tcPr>
          <w:p w14:paraId="29967899">
            <w:pPr>
              <w:spacing w:line="360" w:lineRule="auto"/>
              <w:jc w:val="center"/>
              <w:rPr>
                <w:rFonts w:ascii="Times New Roman" w:hAnsi="Times New Roman"/>
                <w:color w:val="249087" w:themeColor="accent5" w:themeShade="BF"/>
              </w:rPr>
            </w:pPr>
            <w:r>
              <w:rPr>
                <w:rFonts w:hint="eastAsia" w:ascii="微软雅黑" w:hAnsi="微软雅黑" w:eastAsia="微软雅黑"/>
                <w:b/>
                <w:color w:val="843F0B" w:themeColor="accent2" w:themeShade="80"/>
                <w:sz w:val="24"/>
                <w:szCs w:val="24"/>
              </w:rPr>
              <w:t>作业布置</w:t>
            </w:r>
            <w:r>
              <w:rPr>
                <w:rFonts w:ascii="Times New Roman" w:hAnsi="Times New Roman"/>
                <w:color w:val="843F0B" w:themeColor="accent2" w:themeShade="80"/>
                <w:szCs w:val="24"/>
              </w:rPr>
              <w:t>（2</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ashSmallGap" w:color="F4B382" w:themeColor="accent2" w:themeTint="99" w:sz="4" w:space="0"/>
              <w:left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FEFFE9"/>
            <w:vAlign w:val="center"/>
          </w:tcPr>
          <w:p w14:paraId="1EE19599">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14:paraId="323B3DA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b/>
                <w:lang w:eastAsia="zh-CN"/>
              </w:rPr>
            </w:pPr>
            <w:r>
              <w:rPr>
                <w:rFonts w:hint="eastAsia" w:ascii="Times New Roman" w:hAnsi="Times New Roman"/>
                <w:b/>
                <w:lang w:eastAsia="zh-CN"/>
              </w:rPr>
              <w:t>简述</w:t>
            </w:r>
            <w:r>
              <w:rPr>
                <w:rFonts w:hint="eastAsia" w:ascii="Times New Roman" w:hAnsi="Times New Roman"/>
                <w:b/>
              </w:rPr>
              <w:t>大学生挫折自我调适方法</w:t>
            </w:r>
            <w:r>
              <w:rPr>
                <w:rFonts w:hint="eastAsia" w:ascii="Times New Roman" w:hAnsi="Times New Roman"/>
                <w:b/>
                <w:lang w:eastAsia="zh-CN"/>
              </w:rPr>
              <w:t>。</w:t>
            </w:r>
          </w:p>
        </w:tc>
        <w:tc>
          <w:tcPr>
            <w:tcW w:w="1617" w:type="dxa"/>
            <w:tcBorders>
              <w:top w:val="dashSmallGap" w:color="F4B382" w:themeColor="accent2" w:themeTint="99" w:sz="4" w:space="0"/>
              <w:left w:val="dashSmallGap" w:color="F4B382" w:themeColor="accent2" w:themeTint="99" w:sz="4" w:space="0"/>
              <w:bottom w:val="dashSmallGap" w:color="F4B382" w:themeColor="accent2" w:themeTint="99" w:sz="4" w:space="0"/>
            </w:tcBorders>
            <w:shd w:val="clear" w:color="auto" w:fill="FEFFE9"/>
            <w:vAlign w:val="center"/>
          </w:tcPr>
          <w:p w14:paraId="729BC203">
            <w:pPr>
              <w:spacing w:line="360" w:lineRule="auto"/>
              <w:rPr>
                <w:rFonts w:ascii="Times New Roman" w:hAnsi="Times New Roman"/>
                <w:b w:val="0"/>
                <w:bCs/>
              </w:rPr>
            </w:pPr>
            <w:r>
              <w:rPr>
                <w:rFonts w:hint="eastAsia" w:ascii="Times New Roman" w:hAnsi="Times New Roman"/>
                <w:b w:val="0"/>
                <w:bCs/>
              </w:rPr>
              <w:t>通过课后练习，使学生巩固所学新知识</w:t>
            </w:r>
          </w:p>
        </w:tc>
      </w:tr>
      <w:tr w14:paraId="4FC29EAF">
        <w:trPr>
          <w:trHeight w:val="567" w:hRule="atLeast"/>
          <w:jc w:val="center"/>
        </w:trPr>
        <w:tc>
          <w:tcPr>
            <w:tcW w:w="1538" w:type="dxa"/>
            <w:tcBorders>
              <w:top w:val="dashSmallGap" w:color="E54C5E" w:themeColor="accent6" w:sz="4" w:space="0"/>
              <w:bottom w:val="dashSmallGap" w:color="4874CB" w:themeColor="accent1" w:sz="4" w:space="0"/>
              <w:right w:val="dashSmallGap" w:color="F4B382" w:themeColor="accent2" w:themeTint="99" w:sz="4" w:space="0"/>
            </w:tcBorders>
            <w:shd w:val="clear" w:color="auto" w:fill="FBE6D6" w:themeFill="accent2" w:themeFillTint="32"/>
            <w:vAlign w:val="center"/>
          </w:tcPr>
          <w:p w14:paraId="383DA56E">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继续探索</w:t>
            </w:r>
          </w:p>
          <w:p w14:paraId="6BB08A9E">
            <w:pPr>
              <w:spacing w:line="360" w:lineRule="auto"/>
              <w:jc w:val="center"/>
              <w:rPr>
                <w:rFonts w:ascii="Times New Roman" w:hAnsi="Times New Roman" w:eastAsia="宋体"/>
              </w:rPr>
            </w:pPr>
            <w:r>
              <w:rPr>
                <w:rFonts w:ascii="Times New Roman" w:hAnsi="Times New Roman" w:eastAsia="宋体"/>
                <w:color w:val="843F0B" w:themeColor="accent2" w:themeShade="80"/>
                <w:szCs w:val="24"/>
              </w:rPr>
              <w:t>（</w:t>
            </w:r>
            <w:r>
              <w:rPr>
                <w:rFonts w:hint="eastAsia" w:ascii="Times New Roman" w:hAnsi="Times New Roman" w:eastAsia="宋体"/>
                <w:color w:val="843F0B" w:themeColor="accent2" w:themeShade="80"/>
                <w:szCs w:val="24"/>
                <w:lang w:val="en-US" w:eastAsia="zh-CN"/>
              </w:rPr>
              <w:t>40</w:t>
            </w:r>
            <w:r>
              <w:rPr>
                <w:rFonts w:hint="eastAsia" w:ascii="Times New Roman" w:hAnsi="Times New Roman" w:eastAsia="宋体"/>
                <w:color w:val="843F0B" w:themeColor="accent2" w:themeShade="80"/>
                <w:szCs w:val="24"/>
              </w:rPr>
              <w:t>min</w:t>
            </w:r>
            <w:r>
              <w:rPr>
                <w:rFonts w:ascii="Times New Roman" w:hAnsi="Times New Roman" w:eastAsia="宋体"/>
                <w:color w:val="843F0B" w:themeColor="accent2" w:themeShade="80"/>
                <w:szCs w:val="24"/>
              </w:rPr>
              <w:t>）</w:t>
            </w:r>
          </w:p>
        </w:tc>
        <w:tc>
          <w:tcPr>
            <w:tcW w:w="7050" w:type="dxa"/>
            <w:tcBorders>
              <w:top w:val="dashSmallGap" w:color="E54C5E" w:themeColor="accent6" w:sz="4" w:space="0"/>
              <w:left w:val="dashSmallGap" w:color="F4B382" w:themeColor="accent2" w:themeTint="99" w:sz="4" w:space="0"/>
              <w:bottom w:val="dashSmallGap" w:color="4874CB" w:themeColor="accent1" w:sz="4" w:space="0"/>
              <w:right w:val="dashSmallGap" w:color="F4B382" w:themeColor="accent2" w:themeTint="99" w:sz="4" w:space="0"/>
            </w:tcBorders>
            <w:vAlign w:val="center"/>
          </w:tcPr>
          <w:p w14:paraId="2E981B3A">
            <w:pPr>
              <w:widowControl/>
              <w:spacing w:line="360" w:lineRule="auto"/>
              <w:rPr>
                <w:rFonts w:hint="eastAsia" w:ascii="Times New Roman" w:hAnsi="Times New Roman" w:eastAsia="宋体"/>
                <w:lang w:eastAsia="zh-CN"/>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szCs w:val="24"/>
                <w:lang w:val="en-US" w:eastAsia="zh-CN"/>
              </w:rPr>
              <w:t>讲解压力与压力管理</w:t>
            </w:r>
          </w:p>
          <w:p w14:paraId="0BEA737C">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一、压力特征的定义</w:t>
            </w:r>
          </w:p>
          <w:p w14:paraId="438FE3E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压力是指人们在社会适应过程中，对各种刺激作出的生理和行为反应时所产生的一种紧张的心理体验和感受。压力在西方文献中也称为应激（stress），压力是一般意义上使用的概念，应激则是临床使用的概念。</w:t>
            </w:r>
          </w:p>
          <w:p w14:paraId="5CE0F520">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（一）压力是一种心理感受和体验</w:t>
            </w:r>
          </w:p>
          <w:p w14:paraId="0DCCA133">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我们这里所说的压力不同于力学范畴中的压力。力学中的压力是实实在在的直接作用，可以测量，并且也容易控制和消除。而心理压力则是一种心理感受，同时存在个体差异。压力是心理失衡的结果，来源于内心冲突。心理作为现实的反应，必定将我们日常生活中遇到的各种各样的矛盾，如理想与现实、自我与社会等冲突，引入我们的内心世界，从而引发焦虑、苦恼等情绪体验和感受。</w:t>
            </w:r>
          </w:p>
          <w:p w14:paraId="5C5285D3">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（二）压力是压力源作用的结果</w:t>
            </w:r>
          </w:p>
          <w:p w14:paraId="4C8DDF6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压力虽然是一种体验，但离不开客观刺激——压力源。诸如生活费超支、即将到来的期末考试、毕业后的就业问题等，成为大学生压力的主要原因。</w:t>
            </w:r>
          </w:p>
          <w:p w14:paraId="7D042CA3">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（三）压力反应与主观评价</w:t>
            </w:r>
          </w:p>
          <w:p w14:paraId="1BFDA5C0">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压力并不直接导致我们的感受和体验，而我们对压力的认识反应或主观评价，决定了我们的感受和体验。对压力的反应包括心理和行为两个方面：</w:t>
            </w:r>
          </w:p>
          <w:p w14:paraId="27808EFA">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1. 压力的心理反应</w:t>
            </w:r>
          </w:p>
          <w:p w14:paraId="430CC7E2">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在压力情境下，个体的感知功能被激活，注意力集中，记忆力增强，思维也变得活跃。个体的认知反应既有积极的一面，也可能具有消极的作用。积极的一面是认知活动增强，有利于应对压力情境，迎接威胁与挑战。但也可能产生诸如“灾难化”消极认知反应，即对负面压力源的潜在后果估计得过分严重。消极认知反应还包括自我评价降低，使得个体的自主感知自信心丧失。例如，一个长期得到师生称赞的学生，突然面对一次考试失利，很可能就会一蹶不振，变得怀疑自己。个体的心理反应还集中在情绪方面。面对压力，个体最常见的情绪反应包括：焦虑与恐惧、愤怒与怨恨、抑郁等。</w:t>
            </w:r>
          </w:p>
          <w:p w14:paraId="7D68CD16">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2. 压力的行为反应</w:t>
            </w:r>
          </w:p>
          <w:p w14:paraId="3BE0A98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压力条件下的行为反应，与心理和情绪反应密切相关，也可以将其视为心理和生理过程的外显反应。行为反应主要涉及面部表情、目光、身姿和动作，也包括声调、音高、语速和节奏等副言语线索。当压力超过当事人承受能力的时候，个体的行为反应可能会显得惊慌失措，以至身体的协调能力和灵活性下降，动作刻板，或运动性不安，搓手顿足；或运动减少而呆滞。</w:t>
            </w:r>
          </w:p>
          <w:p w14:paraId="13A72277">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3. 对压力的认知和评价</w:t>
            </w:r>
          </w:p>
          <w:p w14:paraId="43217D4E">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个体对压力的反应，不是直接而单纯的，而是要受到中介机制——认知评价的影响。它决定着个体如何看待刺激的性质与压力的大小。认知与评价机制主要取决于以下因素：</w:t>
            </w:r>
          </w:p>
          <w:p w14:paraId="54F877CE">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（1）压力源本身的性质与特点，即是单一性的还是复合性的，一般性的还是破坏性的。</w:t>
            </w:r>
          </w:p>
          <w:p w14:paraId="66E786B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（2）社会支持系统。当个体具有较强的社会支持系统时，他可能觉得压力没什么大不了的，自己可以得到帮助；相反，社会支持系统薄弱的人会很沮丧，有一种独自面对困难的悲伤。</w:t>
            </w:r>
          </w:p>
          <w:p w14:paraId="1D7D39C5">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3）当事人自身的身心特点。主要包括三个方面：性别、年龄、受教育程度、经济状况、婚姻状况、职业等人口统计学状况；体魄强壮与否的生理状况；认知与归因风格、性格倾向、情绪状态、应对能力与应对风格、人格动力特征、自我概念等心理因素。</w:t>
            </w:r>
          </w:p>
          <w:p w14:paraId="1A7BD564">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二、压力的作用及人的反应</w:t>
            </w:r>
          </w:p>
          <w:p w14:paraId="3761206D">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（一）压力的作用</w:t>
            </w:r>
          </w:p>
          <w:p w14:paraId="5ED010C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压力对人的作用具有双重性。</w:t>
            </w:r>
          </w:p>
          <w:p w14:paraId="01799DC2">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1. 压力对健康的积极作用</w:t>
            </w:r>
          </w:p>
          <w:p w14:paraId="7EF3F1B3">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一般单一性社会压力有益于健康，它使人生活得充实，人生变得有意义，我们将这类压力称之为良性压力。事实上完全没有压力的生活是不可想象的，也是不真实的。</w:t>
            </w:r>
          </w:p>
          <w:p w14:paraId="382F6361">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心理学的研究表明，早年的心理压力是促进儿童成长和发展的必要条件。经受过生活压力的青少年在以后的生活和工作中更容易适应环境，更容易取得成功；反之，早年生活条件太好，没经历过挫折和压力，则有如温室里成长的花朵，经不起生活的风吹雨打。对于大学生而言，适度的压力是维持正常身心功能活动，激发积极性和主动性，锻炼和培养良好意志力品质的必要条件。</w:t>
            </w:r>
          </w:p>
          <w:p w14:paraId="0A6FC900">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2. 压力对健康的消极影响</w:t>
            </w:r>
          </w:p>
          <w:p w14:paraId="7E7068E7">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继时性压力和破坏性压力，则会成为人们健康的杀手。继时性压力使人处于慢性心理应激状态，时间一久便容易引发一系列的身心症状。病人会产生呼吸困难、易疲劳、心悸和胸痛等生理症状。此外，还有紧张性头痛、焦虑、抑郁、强迫行为等心理症状，是为慢性应激障碍。</w:t>
            </w:r>
          </w:p>
          <w:p w14:paraId="29E6B10F">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破坏性压力，比如地震、战争等，则容易使人患上创伤后压力失调，或创伤后应激障碍，造成感知、情绪、行为等方面的系列问题，是为急性应激障碍。比如女性被强暴后会变得呆滞、记忆丧失、回避社会活动、失去安全感等。强大自然灾害的心理反应，则比创伤后压力失调更为严重，产生灾难症候群。</w:t>
            </w:r>
          </w:p>
          <w:p w14:paraId="11FF1E67">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（二）压力反应的阶段</w:t>
            </w:r>
          </w:p>
          <w:p w14:paraId="3C67C49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压力作用于个体之后，会引发一系列的变化，如心跳加快加强，血液循环加快，血压升高；内脏血管收缩，骨骼肌血管舒张，血流量重新分布；呼吸加深加快，肺通气量增多；汗腺分泌迅速；代谢活动加强，为肌肉活动提供充分的能量等。这一系列活动均有利于机体动员各器官的贮备力，尽力应对环境的变化。根据内分泌学和生化学家塞利的研究，在适应压力的过程中，个体的生理、心理及行为特点分为三个不同的阶段：</w:t>
            </w:r>
          </w:p>
          <w:p w14:paraId="04080050">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1. 警觉阶段</w:t>
            </w:r>
          </w:p>
          <w:p w14:paraId="4E03AFAF">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警觉阶段又叫唤醒期或准备期。发现事件并引起警觉，同时准备应付。交感神经支配肾上腺分泌肾上腺素和副肾上腺素，这些激素促进人体的新陈代谢，释放储存的能量，于是主要器官的活动处于兴奋状态，包括：呼吸、心跳加速；汗腺加快分泌；骨骼肌紧张，血压、体温升高等。</w:t>
            </w:r>
          </w:p>
          <w:p w14:paraId="56A5D045">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2. 搏斗阶段</w:t>
            </w:r>
          </w:p>
          <w:p w14:paraId="164B548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搏斗阶段又叫战斗期或反抗期。继警觉之后，人体全身心投入战斗，或消除压力，或适应压力，或退却。这一阶段人体会出现以下生理、心理和行为特征：</w:t>
            </w:r>
          </w:p>
          <w:p w14:paraId="59311262">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（1）警觉阶段的生理生化指标表面恢复正常，外在行为平复，实则处于意识控制之下的抑制状态。</w:t>
            </w:r>
          </w:p>
          <w:p w14:paraId="6C90B4B2">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（2）个体内部的生理和心理资源以及能量，被大量耗费。</w:t>
            </w:r>
          </w:p>
          <w:p w14:paraId="249070D7">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3）由于调控压力而大量消耗能量，此时个体变得极为敏感和脆弱，即便是日常微小的刺激，也能引发个体强烈的情绪反应。比如，孩子的哭闹、家里来客人、接听电话、家庭成员的小小意见分歧，都会使其大发雷霆，找对方“出气”。</w:t>
            </w:r>
          </w:p>
          <w:p w14:paraId="6E89C629">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3. 衰竭阶段</w:t>
            </w:r>
          </w:p>
          <w:p w14:paraId="0BF4D79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衰竭阶段又叫枯竭期或倦怠期。由于抗击压力的能量已经消耗殆尽，此时个体在短时间内难以继续承受压力。如果一个压力反应周期之后，外在的压力消失了，经过一定时间的调理休息，个体很快就能恢复正常的体征。如果压力源持续存在，个体仍不能适应，那么一个能量已经消耗殆尽的人，就必然会发生危险，此时，疾病、死亡都是极有可能的。有两种压力可能使肌体调节失常，一是突如其来的过大压力，二是持续不变低量的压力。前一种压力使人压力调节机制瓦解，后一种压力可能逃避正常的肌体反应，造成压力的蓄积。长期处于叠加性压力和破坏性压力状态下容易出现身心疾病，就是这个道理。</w:t>
            </w:r>
          </w:p>
          <w:p w14:paraId="0CB246BC">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三、压力管理的策略</w:t>
            </w:r>
          </w:p>
          <w:p w14:paraId="6C1BF83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压力看不见也摸不着，可它在我们每个人的生活中无处不在，无可逃避，因此，这就有个压力适应的问题。所谓压力适应，是指个体在压力反应之后能很快恢复正常的身心特征，或者面对持续压力不处于极端状态而能保持身心健康的能力。为了能很好地适应大学乃至今后的学习、生活和工作，大学生朋友宜进行有效地压力管理，提高自己的压力适应能力。所谓压力管理，是指针对可预见的压力源进行必要的干预，维护身心健康，提高问题处理的效率，保证学习生活目标顺利实现的管理活动。压力应对具有事后性和被动性，而压力管理则带有一定程度的主动性和积极性特征，它包含压力应对。建议大学生朋友从以下几个方面着手进行压力管理：</w:t>
            </w:r>
          </w:p>
          <w:p w14:paraId="6C2C140E">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（一）构建自己的社会支持系统</w:t>
            </w:r>
          </w:p>
          <w:p w14:paraId="7472CAB9">
            <w:pPr>
              <w:widowControl/>
              <w:spacing w:line="360" w:lineRule="auto"/>
              <w:ind w:left="-19" w:leftChars="-9" w:firstLine="438" w:firstLineChars="209"/>
              <w:jc w:val="both"/>
              <w:rPr>
                <w:rFonts w:hint="eastAsia" w:ascii="Times New Roman" w:hAnsi="Times New Roman" w:eastAsia="宋体"/>
              </w:rPr>
            </w:pPr>
            <w:r>
              <w:rPr>
                <w:rFonts w:ascii="Times New Roman" w:hAnsi="Times New Roman" w:eastAsia="宋体" w:cs="Times New Roman"/>
                <w:kern w:val="2"/>
                <w:sz w:val="21"/>
                <w:szCs w:val="24"/>
                <w:lang w:bidi="ar-SA"/>
              </w:rPr>
              <w:t>面对压力时，个人的消极应激反应可能超过社会支持的正面效果。构建一个包括亲人、朋友、同学和老师在内的社会支持系统至关重要。这样的系统能在你需要时提供情感支持和行动建议，帮助你克服困难。强大的社会支持能让你感到不孤单，迅速重拾信心和勇气，面对并解决问题。</w:t>
            </w:r>
            <w:r>
              <w:rPr>
                <w:rFonts w:hint="eastAsia" w:ascii="Times New Roman" w:hAnsi="Times New Roman" w:eastAsia="宋体"/>
              </w:rPr>
              <w:t>当然，要构建社会支持系统，你需要：</w:t>
            </w:r>
          </w:p>
          <w:p w14:paraId="2B2AB0F1">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（1）学会尊重他人。其中当然包括你的同学和老师，因为只有尊重他人的人才能获得他人的友谊，也才可能获得帮助。</w:t>
            </w:r>
          </w:p>
          <w:p w14:paraId="4012A85E">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2）扩大社会交往面，结识更多的朋友。首先，让你的同学成为你最亲密的朋友；其次，你需要一位人生的导师，可以在你遇到困难的时候提供客观的分析和有益的观点，而这样的导师无疑就是你的老师或者其他长者。</w:t>
            </w:r>
          </w:p>
          <w:p w14:paraId="586530B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（3）你需要向亲人、朋友和老师敞开你的心扉。你可能基于自尊或面子的考虑而拒绝他人的帮助。但是在你确实无法解决问题的时候，最好将你面临的压力说给他们听，让他们帮助你分析并提供建议。</w:t>
            </w:r>
          </w:p>
          <w:p w14:paraId="7C2D697B">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（二）觉知和调整自己的生理状态</w:t>
            </w:r>
          </w:p>
          <w:p w14:paraId="4D79742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生理状态是压力最直接的指标。做好压力管理，有效管理压力，首先要有压力意识，要能觉察压力的信号。首要原则是要对压力有所觉察。</w:t>
            </w:r>
          </w:p>
          <w:p w14:paraId="16C6BAD3">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人在应激状态下，本能会驱动机体的防御机制，这是自发发生的。现在，我们要进入自觉反应状态。有效的压力管理，需要我们建立一个对付压力——尤其是那些慢性压力的预警机制。为此，你需要：</w:t>
            </w:r>
          </w:p>
          <w:p w14:paraId="191EAC13">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1）有意识地觉知自身的紧张、焦虑等情绪状态。当你处于应激状态时，自己的生理和情绪会有什么样的不适反应？记录自己的这些压力反应，然后锁定这些反应指标，以后每当你产生这些不适反应时，便对自己发出警告。你的压力预警，就像战争中的雷达一样，让你保持必要的警惕。</w:t>
            </w:r>
          </w:p>
          <w:p w14:paraId="0BEBFE1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（2）学会控制自己的不良生理指标。当你的压力知觉性提高时，你也需要提高生理指标控制力，比如心跳、呼吸、血压等。这实际上就是生物反馈过程，当然，提供反馈的不是机器而是你自己的觉知能力。</w:t>
            </w:r>
          </w:p>
          <w:p w14:paraId="4AA8E85F">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（三）减轻和消除自己的心理负累</w:t>
            </w:r>
          </w:p>
          <w:p w14:paraId="48F150F3">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应激，即便是本能反应，也足以使我们身心疲惫。现在，必须卸掉我们身上由压力带来的紧张和焦虑。否则持续性的压力累积效应，迟早会让我们垮掉。消除心理负累的方法很多：</w:t>
            </w:r>
          </w:p>
          <w:p w14:paraId="7A67EB3A">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1）理性辨析和积极归因。找来纸笔，将你面临的核心问题写下来，接下来你需要围绕着这个问题逐步回答：这个问题是如何产生的？这个问题真的与我有关吗？这个问题真的就是一种威胁吗？这个问题真的就不能解决吗？通过如此反复逐层深入的自我辨析，理清问题症结所在，从而减轻对压力情景认识的模糊或者夸大威胁而产生的焦虑。</w:t>
            </w:r>
          </w:p>
          <w:p w14:paraId="78867C8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（2）学会经常进行放松训练。放松训练是通过一定的练习程序，学习有意识地控制和调节自己的身心活动，以达到降低机体唤醒水平，调整因紧张而紊乱的身心功能，从而使机体内环境保持平衡与稳定的过程。</w:t>
            </w:r>
          </w:p>
          <w:p w14:paraId="55C96069">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（四）进行有效的时间管理</w:t>
            </w:r>
          </w:p>
          <w:p w14:paraId="506ADE62">
            <w:pPr>
              <w:widowControl/>
              <w:spacing w:line="360" w:lineRule="auto"/>
              <w:ind w:left="-19" w:leftChars="-9" w:firstLine="438" w:firstLineChars="209"/>
              <w:jc w:val="both"/>
              <w:rPr>
                <w:rFonts w:hint="eastAsia" w:ascii="Times New Roman" w:hAnsi="Times New Roman" w:eastAsia="宋体"/>
              </w:rPr>
            </w:pPr>
            <w:r>
              <w:rPr>
                <w:rFonts w:ascii="Times New Roman" w:hAnsi="Times New Roman" w:eastAsia="宋体" w:cs="Times New Roman"/>
                <w:kern w:val="2"/>
                <w:sz w:val="21"/>
                <w:szCs w:val="24"/>
                <w:lang w:bidi="ar-SA"/>
              </w:rPr>
              <w:t>乔治在文章中提出，时间管理不应被时间的测量所支配，否则会导致无法自我实现的焦虑。他强调，管理压力源是压力管理的关键，而压力源管理与时间管理紧密相关。时间管理旨在提高时间利用率和有效性，通过合理计划和控制日常事务来实现。大学生的时间管理，涉及科学地控制和调节学习及闲暇时间，以有效利用时间促进自我发展。</w:t>
            </w:r>
            <w:r>
              <w:rPr>
                <w:rFonts w:hint="eastAsia" w:ascii="Times New Roman" w:hAnsi="Times New Roman" w:eastAsia="宋体"/>
              </w:rPr>
              <w:t>以下时间管理方式，建议大学生朋友学会运用：</w:t>
            </w:r>
          </w:p>
          <w:p w14:paraId="6161C461">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（1）ABC 时间管理法。最初由美国管理学家莱金（Lakein）提出，他建议为了提高时间的利用率，每个人确定今后 5 年、今后半年及现阶段要达到的目标。人们应该将其各阶段目标分为 ABC 三个等级，A 级为最重要且必须完成的目标，B 级为较重要很想完成的目标，C 级为不太重要可以暂时搁置的目标。我们可以按照如下步骤具体实施：列出“日学习清单”，对学习目标进行分类；然后按照重要性和紧急程度确定 ABC 顺序；确定工作日程及时间分配；实施计划；记录花费的时间；总结经验。</w:t>
            </w:r>
          </w:p>
          <w:p w14:paraId="252C8B41">
            <w:pPr>
              <w:widowControl/>
              <w:spacing w:line="360" w:lineRule="auto"/>
              <w:ind w:left="-19" w:leftChars="-9" w:firstLine="438" w:firstLineChars="209"/>
              <w:jc w:val="both"/>
              <w:rPr>
                <w:rFonts w:hint="eastAsia" w:ascii="Times New Roman" w:hAnsi="Times New Roman"/>
                <w:lang w:eastAsia="zh-CN"/>
              </w:rPr>
            </w:pPr>
            <w:r>
              <w:rPr>
                <w:rFonts w:hint="eastAsia" w:ascii="Times New Roman" w:hAnsi="Times New Roman" w:eastAsia="宋体"/>
              </w:rPr>
              <w:t>（2）四象限时间管理法。</w:t>
            </w:r>
            <w:r>
              <w:rPr>
                <w:rFonts w:ascii="Times New Roman" w:hAnsi="Times New Roman" w:eastAsia="宋体" w:cs="Times New Roman"/>
                <w:kern w:val="2"/>
                <w:sz w:val="21"/>
                <w:szCs w:val="24"/>
                <w:lang w:bidi="ar-SA"/>
              </w:rPr>
              <w:t>将任务按重要性和紧迫性分为两个维度，分别排序。将任务分配到四个象限中，根据象限顺序安排工作。高效时间管理的关键是先处理重要任务，再处理紧急任务。这意味着应集中精力在第一和第四象限，尽量减少在第二和第三象限的时间。这样可以掌握时间主动权，维持生活平衡，降低未来风险。</w:t>
            </w:r>
          </w:p>
          <w:p w14:paraId="7F05414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研究表明：处理既重要又紧急的事情（第一象限），普通人和成功的人都要投入一定的精力（20%~30%），而造成时间管理差异的秘密在第四象限（重要但不紧急）。成功的人花 60%~68% 的时间（普通人只有 20%）来处理重要但不紧急的事情，不断地提高自己，有规律有计划地完成任务，做有创造性的工作。一般人在处理第三象限（既不重要又不紧急）和第二象限（紧急但不重要）的事情时花费大量时间，因为处理第三象限的事务没有任何压力，比如削削铅笔，整理整理文具之类的可做可不做的工作。而“会响的轱辘有油喝”，第二象限（紧急但不重要），紧急的事情总是吸引人们的注意力，处理这些事情耗费了大量的时间，就会减少处理第一、四象限的时间，变成了一种变相的拖延，这就解释了为什么有的人总是显得很忙，却毫无效率可言的原因。</w:t>
            </w:r>
            <w:bookmarkStart w:id="0" w:name="_GoBack"/>
            <w:bookmarkEnd w:id="0"/>
            <w:r>
              <w:rPr>
                <w:rFonts w:hint="eastAsia" w:ascii="Times New Roman" w:hAnsi="Times New Roman" w:eastAsia="宋体"/>
              </w:rPr>
              <w:t>当你工作极度繁忙又无法理出头绪时，不妨利用四象限时间管理法，分别填入不同类型的工作，再标出优先次序，这个方法将会帮助你把原本混乱的生活变得井然有序，纠结的思绪也会变得豁然开朗。</w:t>
            </w:r>
          </w:p>
          <w:p w14:paraId="7BF9BCA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（3）记录统计法。通过记录和总结每日的时间消耗情况，以判断时间耗费的整体情况，分析时间浪费的原因，采取适当的措施节约时间。</w:t>
            </w:r>
          </w:p>
          <w:p w14:paraId="1C3463FE">
            <w:pPr>
              <w:widowControl/>
              <w:spacing w:line="360" w:lineRule="auto"/>
              <w:rPr>
                <w:rFonts w:ascii="Times New Roman" w:hAnsi="Times New Roman" w:eastAsia="宋体"/>
              </w:rPr>
            </w:pPr>
            <w:r>
              <w:rPr>
                <w:rFonts w:hint="eastAsia" w:ascii="Times New Roman" w:hAnsi="Times New Roman" w:eastAsia="宋体"/>
                <w:b/>
                <w:bCs/>
              </w:rPr>
              <w:t>【</w:t>
            </w:r>
            <w:r>
              <w:rPr>
                <w:rFonts w:hint="eastAsia" w:ascii="Times New Roman" w:hAnsi="Times New Roman" w:eastAsia="宋体"/>
                <w:b/>
                <w:szCs w:val="24"/>
              </w:rPr>
              <w:t>学生</w:t>
            </w:r>
            <w:r>
              <w:rPr>
                <w:rFonts w:hint="eastAsia" w:ascii="Times New Roman" w:hAnsi="Times New Roman" w:eastAsia="宋体"/>
                <w:b/>
                <w:bCs/>
              </w:rPr>
              <w:t>】</w:t>
            </w:r>
            <w:r>
              <w:rPr>
                <w:rFonts w:hint="eastAsia" w:ascii="Times New Roman" w:hAnsi="Times New Roman" w:eastAsia="宋体"/>
                <w:b/>
                <w:bCs/>
                <w:color w:val="CC0066"/>
              </w:rPr>
              <w:t>理解、记忆</w:t>
            </w:r>
          </w:p>
        </w:tc>
        <w:tc>
          <w:tcPr>
            <w:tcW w:w="1617" w:type="dxa"/>
            <w:tcBorders>
              <w:top w:val="dashSmallGap" w:color="E54C5E" w:themeColor="accent6" w:sz="4" w:space="0"/>
              <w:left w:val="dashSmallGap" w:color="F4B382" w:themeColor="accent2" w:themeTint="99" w:sz="4" w:space="0"/>
              <w:bottom w:val="dashSmallGap" w:color="4874CB" w:themeColor="accent1" w:sz="4" w:space="0"/>
            </w:tcBorders>
            <w:shd w:val="clear" w:color="auto" w:fill="auto"/>
            <w:vAlign w:val="center"/>
          </w:tcPr>
          <w:p w14:paraId="636CDD51">
            <w:pPr>
              <w:spacing w:line="360" w:lineRule="auto"/>
              <w:jc w:val="both"/>
              <w:rPr>
                <w:rFonts w:hint="eastAsia" w:ascii="Times New Roman" w:hAnsi="Times New Roman" w:eastAsia="宋体"/>
                <w:b w:val="0"/>
                <w:bCs/>
                <w:spacing w:val="6"/>
                <w:sz w:val="21"/>
                <w:szCs w:val="24"/>
              </w:rPr>
            </w:pPr>
          </w:p>
          <w:p w14:paraId="5BAB359B">
            <w:pPr>
              <w:spacing w:line="360" w:lineRule="auto"/>
              <w:jc w:val="both"/>
              <w:rPr>
                <w:rFonts w:hint="eastAsia" w:ascii="Times New Roman" w:hAnsi="Times New Roman" w:eastAsia="宋体"/>
                <w:b w:val="0"/>
                <w:bCs/>
                <w:spacing w:val="6"/>
                <w:sz w:val="21"/>
                <w:szCs w:val="24"/>
              </w:rPr>
            </w:pPr>
          </w:p>
          <w:p w14:paraId="73FCCDCA">
            <w:pPr>
              <w:spacing w:line="360" w:lineRule="auto"/>
              <w:jc w:val="both"/>
              <w:rPr>
                <w:rFonts w:hint="eastAsia" w:ascii="Times New Roman" w:hAnsi="Times New Roman" w:eastAsia="宋体"/>
                <w:b w:val="0"/>
                <w:bCs/>
                <w:spacing w:val="6"/>
                <w:sz w:val="21"/>
                <w:szCs w:val="24"/>
              </w:rPr>
            </w:pPr>
          </w:p>
          <w:p w14:paraId="76413FC9">
            <w:pPr>
              <w:spacing w:line="360" w:lineRule="auto"/>
              <w:jc w:val="both"/>
              <w:rPr>
                <w:rFonts w:hint="eastAsia" w:ascii="Times New Roman" w:hAnsi="Times New Roman" w:eastAsia="宋体"/>
                <w:b w:val="0"/>
                <w:bCs/>
                <w:spacing w:val="6"/>
                <w:sz w:val="21"/>
                <w:szCs w:val="24"/>
              </w:rPr>
            </w:pPr>
          </w:p>
          <w:p w14:paraId="62DC1273">
            <w:pPr>
              <w:spacing w:line="360" w:lineRule="auto"/>
              <w:jc w:val="both"/>
              <w:rPr>
                <w:rFonts w:hint="eastAsia" w:ascii="Times New Roman" w:hAnsi="Times New Roman" w:eastAsia="宋体"/>
                <w:b w:val="0"/>
                <w:bCs/>
                <w:spacing w:val="6"/>
                <w:sz w:val="21"/>
                <w:szCs w:val="24"/>
              </w:rPr>
            </w:pPr>
          </w:p>
          <w:p w14:paraId="7754F842">
            <w:pPr>
              <w:spacing w:line="360" w:lineRule="auto"/>
              <w:jc w:val="both"/>
              <w:rPr>
                <w:rFonts w:hint="eastAsia" w:ascii="Times New Roman" w:hAnsi="Times New Roman" w:eastAsia="宋体"/>
                <w:b w:val="0"/>
                <w:bCs/>
                <w:spacing w:val="6"/>
                <w:sz w:val="21"/>
                <w:szCs w:val="24"/>
              </w:rPr>
            </w:pPr>
          </w:p>
          <w:p w14:paraId="31BD5B4C">
            <w:pPr>
              <w:spacing w:line="360" w:lineRule="auto"/>
              <w:jc w:val="both"/>
              <w:rPr>
                <w:rFonts w:hint="eastAsia" w:ascii="Times New Roman" w:hAnsi="Times New Roman" w:eastAsia="宋体"/>
                <w:b w:val="0"/>
                <w:bCs/>
                <w:spacing w:val="6"/>
                <w:sz w:val="21"/>
                <w:szCs w:val="24"/>
              </w:rPr>
            </w:pPr>
          </w:p>
          <w:p w14:paraId="2BE580B5">
            <w:pPr>
              <w:spacing w:line="360" w:lineRule="auto"/>
              <w:jc w:val="both"/>
              <w:rPr>
                <w:rFonts w:hint="eastAsia" w:ascii="Times New Roman" w:hAnsi="Times New Roman" w:eastAsia="宋体"/>
                <w:b w:val="0"/>
                <w:bCs/>
                <w:spacing w:val="6"/>
                <w:sz w:val="21"/>
                <w:szCs w:val="24"/>
              </w:rPr>
            </w:pPr>
          </w:p>
          <w:p w14:paraId="1C75ADB6">
            <w:pPr>
              <w:spacing w:line="360" w:lineRule="auto"/>
              <w:jc w:val="both"/>
              <w:rPr>
                <w:rFonts w:hint="eastAsia" w:ascii="Times New Roman" w:hAnsi="Times New Roman" w:eastAsia="宋体"/>
                <w:b w:val="0"/>
                <w:bCs/>
                <w:spacing w:val="6"/>
                <w:sz w:val="21"/>
                <w:szCs w:val="24"/>
              </w:rPr>
            </w:pPr>
          </w:p>
          <w:p w14:paraId="20403673">
            <w:pPr>
              <w:spacing w:line="360" w:lineRule="auto"/>
              <w:jc w:val="both"/>
              <w:rPr>
                <w:rFonts w:hint="eastAsia" w:ascii="Times New Roman" w:hAnsi="Times New Roman" w:eastAsia="宋体"/>
                <w:b w:val="0"/>
                <w:bCs/>
                <w:spacing w:val="6"/>
                <w:sz w:val="21"/>
                <w:szCs w:val="24"/>
              </w:rPr>
            </w:pPr>
          </w:p>
          <w:p w14:paraId="603B22F9">
            <w:pPr>
              <w:spacing w:line="360" w:lineRule="auto"/>
              <w:jc w:val="both"/>
              <w:rPr>
                <w:rFonts w:hint="eastAsia" w:ascii="Times New Roman" w:hAnsi="Times New Roman" w:eastAsia="宋体"/>
                <w:b w:val="0"/>
                <w:bCs/>
                <w:spacing w:val="6"/>
                <w:sz w:val="21"/>
                <w:szCs w:val="24"/>
              </w:rPr>
            </w:pPr>
          </w:p>
          <w:p w14:paraId="194D8DA1">
            <w:pPr>
              <w:spacing w:line="360" w:lineRule="auto"/>
              <w:jc w:val="both"/>
              <w:rPr>
                <w:rFonts w:hint="eastAsia" w:ascii="Times New Roman" w:hAnsi="Times New Roman" w:eastAsia="宋体"/>
                <w:b w:val="0"/>
                <w:bCs/>
                <w:spacing w:val="6"/>
                <w:sz w:val="21"/>
                <w:szCs w:val="24"/>
              </w:rPr>
            </w:pPr>
          </w:p>
          <w:p w14:paraId="754D7726">
            <w:pPr>
              <w:spacing w:line="360" w:lineRule="auto"/>
              <w:jc w:val="both"/>
              <w:rPr>
                <w:rFonts w:hint="eastAsia" w:ascii="Times New Roman" w:hAnsi="Times New Roman" w:eastAsia="宋体"/>
                <w:b w:val="0"/>
                <w:bCs/>
                <w:spacing w:val="6"/>
                <w:sz w:val="21"/>
                <w:szCs w:val="24"/>
              </w:rPr>
            </w:pPr>
          </w:p>
          <w:p w14:paraId="360B3BF8">
            <w:pPr>
              <w:spacing w:line="360" w:lineRule="auto"/>
              <w:jc w:val="both"/>
              <w:rPr>
                <w:rFonts w:hint="eastAsia" w:ascii="Times New Roman" w:hAnsi="Times New Roman" w:eastAsia="宋体"/>
                <w:b w:val="0"/>
                <w:bCs/>
                <w:spacing w:val="6"/>
                <w:sz w:val="21"/>
                <w:szCs w:val="24"/>
              </w:rPr>
            </w:pPr>
          </w:p>
          <w:p w14:paraId="10157A1F">
            <w:pPr>
              <w:spacing w:line="360" w:lineRule="auto"/>
              <w:jc w:val="both"/>
              <w:rPr>
                <w:rFonts w:hint="eastAsia" w:ascii="Times New Roman" w:hAnsi="Times New Roman" w:eastAsia="宋体"/>
                <w:b w:val="0"/>
                <w:bCs/>
                <w:spacing w:val="6"/>
                <w:sz w:val="21"/>
                <w:szCs w:val="24"/>
              </w:rPr>
            </w:pPr>
          </w:p>
          <w:p w14:paraId="26D9541F">
            <w:pPr>
              <w:spacing w:line="360" w:lineRule="auto"/>
              <w:jc w:val="both"/>
              <w:rPr>
                <w:rFonts w:ascii="Times New Roman" w:hAnsi="Times New Roman" w:eastAsia="宋体"/>
                <w:b/>
                <w:szCs w:val="24"/>
              </w:rPr>
            </w:pPr>
            <w:r>
              <w:rPr>
                <w:rFonts w:hint="eastAsia" w:ascii="Times New Roman" w:hAnsi="Times New Roman" w:eastAsia="宋体"/>
                <w:b w:val="0"/>
                <w:bCs/>
                <w:spacing w:val="6"/>
                <w:sz w:val="21"/>
                <w:szCs w:val="24"/>
              </w:rPr>
              <w:t>通过</w:t>
            </w:r>
            <w:r>
              <w:rPr>
                <w:rFonts w:hint="eastAsia" w:ascii="Times New Roman" w:hAnsi="Times New Roman" w:eastAsia="宋体"/>
                <w:b w:val="0"/>
                <w:bCs/>
                <w:spacing w:val="6"/>
                <w:sz w:val="21"/>
                <w:szCs w:val="24"/>
                <w:lang w:eastAsia="zh-CN"/>
              </w:rPr>
              <w:t>分享见解</w:t>
            </w:r>
            <w:r>
              <w:rPr>
                <w:rFonts w:hint="eastAsia" w:ascii="Times New Roman" w:hAnsi="Times New Roman" w:eastAsia="宋体"/>
                <w:b w:val="0"/>
                <w:bCs/>
                <w:spacing w:val="6"/>
                <w:sz w:val="21"/>
                <w:szCs w:val="24"/>
              </w:rPr>
              <w:t>，带领学生</w:t>
            </w:r>
            <w:r>
              <w:rPr>
                <w:rFonts w:hint="eastAsia" w:ascii="Times New Roman" w:hAnsi="Times New Roman" w:eastAsia="宋体"/>
                <w:b w:val="0"/>
                <w:bCs/>
                <w:spacing w:val="6"/>
                <w:sz w:val="21"/>
                <w:szCs w:val="24"/>
                <w:lang w:eastAsia="zh-CN"/>
              </w:rPr>
              <w:t>进一步了解压力与压力管理</w:t>
            </w:r>
            <w:r>
              <w:rPr>
                <w:rFonts w:hint="eastAsia" w:ascii="Times New Roman" w:hAnsi="Times New Roman" w:eastAsia="宋体"/>
                <w:b w:val="0"/>
                <w:bCs/>
                <w:spacing w:val="6"/>
                <w:sz w:val="21"/>
                <w:szCs w:val="24"/>
              </w:rPr>
              <w:t>，客观直接的展示压力与压力管理的基础知识。</w:t>
            </w:r>
          </w:p>
        </w:tc>
      </w:tr>
      <w:tr w14:paraId="117A27D5">
        <w:trPr>
          <w:trHeight w:val="567" w:hRule="atLeast"/>
          <w:jc w:val="center"/>
        </w:trPr>
        <w:tc>
          <w:tcPr>
            <w:tcW w:w="1538" w:type="dxa"/>
            <w:tcBorders>
              <w:top w:val="dashSmallGap" w:color="4874CB" w:themeColor="accent1" w:sz="4" w:space="0"/>
              <w:bottom w:val="dashSmallGap" w:color="F4B382" w:themeColor="accent2" w:themeTint="99" w:sz="4" w:space="0"/>
              <w:right w:val="dashSmallGap" w:color="E54C5E" w:themeColor="accent6" w:sz="4" w:space="0"/>
            </w:tcBorders>
            <w:shd w:val="clear" w:color="auto" w:fill="F9DBDF" w:themeFill="accent6" w:themeFillTint="32"/>
            <w:vAlign w:val="center"/>
          </w:tcPr>
          <w:p w14:paraId="404AC209">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51321" w:themeColor="accent6" w:themeShade="80"/>
                <w:sz w:val="24"/>
                <w:szCs w:val="24"/>
              </w:rPr>
              <w:t>课堂小结</w:t>
            </w:r>
          </w:p>
          <w:p w14:paraId="5CC3F8FB">
            <w:pPr>
              <w:spacing w:line="360" w:lineRule="auto"/>
              <w:jc w:val="center"/>
              <w:rPr>
                <w:rFonts w:ascii="Times New Roman" w:hAnsi="Times New Roman" w:eastAsia="宋体"/>
                <w:color w:val="249087" w:themeColor="accent5" w:themeShade="BF"/>
              </w:rPr>
            </w:pPr>
            <w:r>
              <w:rPr>
                <w:rFonts w:ascii="Times New Roman" w:hAnsi="Times New Roman" w:eastAsia="宋体"/>
                <w:color w:val="851321" w:themeColor="accent6" w:themeShade="80"/>
                <w:szCs w:val="24"/>
              </w:rPr>
              <w:t>（3</w:t>
            </w:r>
            <w:r>
              <w:rPr>
                <w:rFonts w:hint="eastAsia" w:ascii="Times New Roman" w:hAnsi="Times New Roman" w:eastAsia="宋体"/>
                <w:color w:val="851321" w:themeColor="accent6" w:themeShade="80"/>
                <w:szCs w:val="24"/>
              </w:rPr>
              <w:t>min</w:t>
            </w:r>
            <w:r>
              <w:rPr>
                <w:rFonts w:ascii="Times New Roman" w:hAnsi="Times New Roman" w:eastAsia="宋体"/>
                <w:color w:val="851321" w:themeColor="accent6" w:themeShade="80"/>
                <w:szCs w:val="24"/>
              </w:rPr>
              <w:t>）</w:t>
            </w:r>
          </w:p>
        </w:tc>
        <w:tc>
          <w:tcPr>
            <w:tcW w:w="7050" w:type="dxa"/>
            <w:tcBorders>
              <w:top w:val="dashSmallGap" w:color="4874CB" w:themeColor="accent1" w:sz="4" w:space="0"/>
              <w:left w:val="dashSmallGap" w:color="E54C5E" w:themeColor="accent6" w:sz="4" w:space="0"/>
              <w:bottom w:val="dashSmallGap" w:color="F4B382" w:themeColor="accent2" w:themeTint="99" w:sz="4" w:space="0"/>
              <w:right w:val="dashSmallGap" w:color="E54C5E" w:themeColor="accent6" w:sz="4" w:space="0"/>
            </w:tcBorders>
            <w:shd w:val="clear" w:color="auto" w:fill="F8FFF5"/>
            <w:vAlign w:val="center"/>
          </w:tcPr>
          <w:p w14:paraId="47D6B617">
            <w:pPr>
              <w:spacing w:line="360" w:lineRule="auto"/>
              <w:rPr>
                <w:rFonts w:ascii="Times New Roman" w:hAnsi="Times New Roman" w:eastAsia="宋体"/>
                <w:szCs w:val="24"/>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szCs w:val="24"/>
              </w:rPr>
              <w:t>回顾和总结本节课的知识点：</w:t>
            </w:r>
          </w:p>
          <w:p w14:paraId="09059099">
            <w:pPr>
              <w:spacing w:line="360" w:lineRule="auto"/>
              <w:ind w:firstLine="420" w:firstLineChars="200"/>
              <w:rPr>
                <w:rFonts w:hint="eastAsia" w:ascii="Times New Roman" w:hAnsi="Times New Roman" w:eastAsia="宋体"/>
                <w:b/>
                <w:lang w:eastAsia="zh-CN"/>
              </w:rPr>
            </w:pPr>
            <w:r>
              <w:rPr>
                <w:rFonts w:hint="eastAsia" w:ascii="Times New Roman" w:hAnsi="Times New Roman" w:eastAsia="宋体"/>
                <w:b/>
              </w:rPr>
              <w:t>这节课</w:t>
            </w:r>
            <w:r>
              <w:rPr>
                <w:rFonts w:ascii="Times New Roman" w:hAnsi="Times New Roman" w:eastAsia="宋体"/>
                <w:b/>
              </w:rPr>
              <w:t>上一起学习了</w:t>
            </w:r>
            <w:r>
              <w:rPr>
                <w:rFonts w:hint="eastAsia" w:ascii="宋体" w:hAnsi="宋体" w:eastAsia="宋体" w:cs="宋体"/>
                <w:b/>
                <w:kern w:val="0"/>
                <w:szCs w:val="24"/>
              </w:rPr>
              <w:t>压力与压力管理</w:t>
            </w:r>
            <w:r>
              <w:rPr>
                <w:rFonts w:hint="eastAsia" w:ascii="Times New Roman" w:hAnsi="Times New Roman" w:eastAsia="宋体"/>
                <w:b/>
              </w:rPr>
              <w:t>。因此明白了大学生承受的压力越来越重，可能会导致一系列的心理健康问题。压力，已经成为危害大学生健康的第一杀手。</w:t>
            </w:r>
          </w:p>
          <w:p w14:paraId="177C1B6C">
            <w:pPr>
              <w:spacing w:line="360" w:lineRule="auto"/>
              <w:rPr>
                <w:rFonts w:ascii="Times New Roman" w:hAnsi="Times New Roman" w:eastAsia="宋体"/>
              </w:rPr>
            </w:pPr>
            <w:r>
              <w:rPr>
                <w:rFonts w:hint="eastAsia" w:ascii="Times New Roman" w:hAnsi="Times New Roman" w:eastAsia="宋体"/>
                <w:szCs w:val="24"/>
              </w:rPr>
              <w:t>【</w:t>
            </w:r>
            <w:r>
              <w:rPr>
                <w:rFonts w:hint="eastAsia" w:ascii="Times New Roman" w:hAnsi="Times New Roman" w:eastAsia="宋体"/>
                <w:b/>
                <w:szCs w:val="24"/>
              </w:rPr>
              <w:t>学生</w:t>
            </w:r>
            <w:r>
              <w:rPr>
                <w:rFonts w:hint="eastAsia" w:ascii="Times New Roman" w:hAnsi="Times New Roman" w:eastAsia="宋体"/>
                <w:szCs w:val="24"/>
              </w:rPr>
              <w:t>】</w:t>
            </w:r>
            <w:r>
              <w:rPr>
                <w:rFonts w:hint="eastAsia" w:ascii="Times New Roman" w:hAnsi="Times New Roman" w:eastAsia="宋体"/>
                <w:b/>
                <w:bCs/>
                <w:color w:val="CC0066"/>
              </w:rPr>
              <w:t>理解、记忆</w:t>
            </w:r>
          </w:p>
        </w:tc>
        <w:tc>
          <w:tcPr>
            <w:tcW w:w="1617" w:type="dxa"/>
            <w:tcBorders>
              <w:top w:val="dashSmallGap" w:color="4874CB" w:themeColor="accent1" w:sz="4" w:space="0"/>
              <w:left w:val="dashSmallGap" w:color="E54C5E" w:themeColor="accent6" w:sz="4" w:space="0"/>
              <w:bottom w:val="dashSmallGap" w:color="F4B382" w:themeColor="accent2" w:themeTint="99" w:sz="4" w:space="0"/>
            </w:tcBorders>
            <w:shd w:val="clear" w:color="auto" w:fill="F8FFF5"/>
            <w:vAlign w:val="center"/>
          </w:tcPr>
          <w:p w14:paraId="34ABDEFF">
            <w:pPr>
              <w:spacing w:line="360" w:lineRule="auto"/>
              <w:rPr>
                <w:rFonts w:ascii="Times New Roman" w:hAnsi="Times New Roman" w:eastAsia="宋体"/>
                <w:b w:val="0"/>
                <w:bCs/>
              </w:rPr>
            </w:pPr>
            <w:r>
              <w:rPr>
                <w:rFonts w:hint="eastAsia" w:ascii="Times New Roman" w:hAnsi="Times New Roman" w:eastAsia="宋体"/>
                <w:b w:val="0"/>
                <w:bCs/>
              </w:rPr>
              <w:t>通过对所学知识的回顾，培养学生的归纳总结能力。</w:t>
            </w:r>
          </w:p>
        </w:tc>
      </w:tr>
      <w:tr w14:paraId="579DBC4A">
        <w:trPr>
          <w:trHeight w:val="567" w:hRule="atLeast"/>
          <w:jc w:val="center"/>
        </w:trPr>
        <w:tc>
          <w:tcPr>
            <w:tcW w:w="1538" w:type="dxa"/>
            <w:tcBorders>
              <w:top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E3F2D9" w:themeFill="accent4" w:themeFillTint="32"/>
            <w:vAlign w:val="center"/>
          </w:tcPr>
          <w:p w14:paraId="418D14C0">
            <w:pPr>
              <w:spacing w:line="360" w:lineRule="auto"/>
              <w:jc w:val="center"/>
              <w:rPr>
                <w:rFonts w:ascii="Times New Roman" w:hAnsi="Times New Roman" w:eastAsia="宋体"/>
                <w:color w:val="249087" w:themeColor="accent5" w:themeShade="BF"/>
              </w:rPr>
            </w:pPr>
            <w:r>
              <w:rPr>
                <w:rFonts w:hint="eastAsia" w:ascii="微软雅黑" w:hAnsi="微软雅黑" w:eastAsia="微软雅黑"/>
                <w:b/>
                <w:color w:val="843F0B" w:themeColor="accent2" w:themeShade="80"/>
                <w:sz w:val="24"/>
                <w:szCs w:val="24"/>
              </w:rPr>
              <w:t>作业布置</w:t>
            </w:r>
            <w:r>
              <w:rPr>
                <w:rFonts w:ascii="Times New Roman" w:hAnsi="Times New Roman" w:eastAsia="宋体"/>
                <w:color w:val="843F0B" w:themeColor="accent2" w:themeShade="80"/>
                <w:szCs w:val="24"/>
              </w:rPr>
              <w:t>（2</w:t>
            </w:r>
            <w:r>
              <w:rPr>
                <w:rFonts w:hint="eastAsia" w:ascii="Times New Roman" w:hAnsi="Times New Roman" w:eastAsia="宋体"/>
                <w:color w:val="843F0B" w:themeColor="accent2" w:themeShade="80"/>
                <w:szCs w:val="24"/>
              </w:rPr>
              <w:t>min</w:t>
            </w:r>
            <w:r>
              <w:rPr>
                <w:rFonts w:ascii="Times New Roman" w:hAnsi="Times New Roman" w:eastAsia="宋体"/>
                <w:color w:val="843F0B" w:themeColor="accent2" w:themeShade="80"/>
                <w:szCs w:val="24"/>
              </w:rPr>
              <w:t>）</w:t>
            </w:r>
          </w:p>
        </w:tc>
        <w:tc>
          <w:tcPr>
            <w:tcW w:w="7050" w:type="dxa"/>
            <w:tcBorders>
              <w:top w:val="dashSmallGap" w:color="F4B382" w:themeColor="accent2" w:themeTint="99" w:sz="4" w:space="0"/>
              <w:left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FEFFE9"/>
            <w:vAlign w:val="center"/>
          </w:tcPr>
          <w:p w14:paraId="224A2E61">
            <w:pPr>
              <w:spacing w:line="360" w:lineRule="auto"/>
              <w:rPr>
                <w:rFonts w:ascii="Times New Roman" w:hAnsi="Times New Roman" w:eastAsia="宋体"/>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rPr>
              <w:t>布置课后作业</w:t>
            </w:r>
          </w:p>
          <w:p w14:paraId="258C883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b/>
                <w:lang w:eastAsia="zh-CN"/>
              </w:rPr>
            </w:pPr>
            <w:r>
              <w:rPr>
                <w:rFonts w:hint="eastAsia" w:ascii="Times New Roman" w:hAnsi="Times New Roman" w:eastAsia="宋体"/>
                <w:b/>
                <w:lang w:eastAsia="zh-CN"/>
              </w:rPr>
              <w:t>简述</w:t>
            </w:r>
            <w:r>
              <w:rPr>
                <w:rFonts w:hint="eastAsia" w:ascii="Times New Roman" w:hAnsi="Times New Roman" w:eastAsia="宋体"/>
                <w:b/>
              </w:rPr>
              <w:t>压力特征的定义</w:t>
            </w:r>
            <w:r>
              <w:rPr>
                <w:rFonts w:hint="eastAsia" w:ascii="Times New Roman" w:hAnsi="Times New Roman" w:eastAsia="宋体"/>
                <w:b/>
                <w:lang w:eastAsia="zh-CN"/>
              </w:rPr>
              <w:t>。</w:t>
            </w:r>
          </w:p>
        </w:tc>
        <w:tc>
          <w:tcPr>
            <w:tcW w:w="1617" w:type="dxa"/>
            <w:tcBorders>
              <w:top w:val="dashSmallGap" w:color="F4B382" w:themeColor="accent2" w:themeTint="99" w:sz="4" w:space="0"/>
              <w:left w:val="dashSmallGap" w:color="F4B382" w:themeColor="accent2" w:themeTint="99" w:sz="4" w:space="0"/>
              <w:bottom w:val="dashSmallGap" w:color="F4B382" w:themeColor="accent2" w:themeTint="99" w:sz="4" w:space="0"/>
            </w:tcBorders>
            <w:shd w:val="clear" w:color="auto" w:fill="FEFFE9"/>
            <w:vAlign w:val="center"/>
          </w:tcPr>
          <w:p w14:paraId="5D254672">
            <w:pPr>
              <w:spacing w:line="360" w:lineRule="auto"/>
              <w:rPr>
                <w:rFonts w:ascii="Times New Roman" w:hAnsi="Times New Roman" w:eastAsia="宋体"/>
                <w:b w:val="0"/>
                <w:bCs/>
              </w:rPr>
            </w:pPr>
            <w:r>
              <w:rPr>
                <w:rFonts w:hint="eastAsia" w:ascii="Times New Roman" w:hAnsi="Times New Roman" w:eastAsia="宋体"/>
                <w:b w:val="0"/>
                <w:bCs/>
              </w:rPr>
              <w:t>通过课后练习，使学生巩固所学新知识</w:t>
            </w:r>
          </w:p>
        </w:tc>
      </w:tr>
      <w:tr w14:paraId="2E9C8FC5">
        <w:trPr>
          <w:trHeight w:val="567" w:hRule="atLeast"/>
          <w:jc w:val="center"/>
        </w:trPr>
        <w:tc>
          <w:tcPr>
            <w:tcW w:w="1538" w:type="dxa"/>
            <w:tcBorders>
              <w:top w:val="double" w:color="833F0A" w:themeColor="accent2" w:themeShade="7F" w:sz="4" w:space="0"/>
            </w:tcBorders>
            <w:shd w:val="clear" w:color="auto" w:fill="ACD78D" w:themeFill="accent4" w:themeFillTint="99"/>
            <w:vAlign w:val="center"/>
          </w:tcPr>
          <w:p w14:paraId="35DBBA56">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43F0B" w:themeColor="accent2" w:themeShade="80"/>
                <w:sz w:val="24"/>
                <w:szCs w:val="24"/>
              </w:rPr>
              <w:t>教学反思</w:t>
            </w:r>
          </w:p>
        </w:tc>
        <w:tc>
          <w:tcPr>
            <w:tcW w:w="8667" w:type="dxa"/>
            <w:gridSpan w:val="2"/>
            <w:tcBorders>
              <w:top w:val="double" w:color="833F0A" w:themeColor="accent2" w:themeShade="7F" w:sz="4" w:space="0"/>
            </w:tcBorders>
            <w:shd w:val="clear" w:color="auto" w:fill="ACD78D" w:themeFill="accent4" w:themeFillTint="99"/>
            <w:vAlign w:val="center"/>
          </w:tcPr>
          <w:p w14:paraId="7D862DC6">
            <w:pPr>
              <w:spacing w:line="360" w:lineRule="auto"/>
              <w:rPr>
                <w:rFonts w:ascii="Times New Roman" w:hAnsi="Times New Roman"/>
              </w:rPr>
            </w:pPr>
            <w:r>
              <w:rPr>
                <w:rFonts w:hint="eastAsia" w:ascii="Times New Roman" w:hAnsi="Times New Roman"/>
              </w:rPr>
              <w:t>理论讲授中存在不足， 对概念理论的解释抽象的阐述多， 操作性阐述少； 对心理现象描述的多， 分析、解释的少； 要求学生概念原理掌握多， 实际运用能力训练少。</w:t>
            </w:r>
          </w:p>
        </w:tc>
      </w:tr>
    </w:tbl>
    <w:p w14:paraId="1CD61DC9"/>
    <w:p w14:paraId="2F472A12"/>
    <w:sectPr>
      <w:pgSz w:w="11906" w:h="16838"/>
      <w:pgMar w:top="567" w:right="567" w:bottom="567" w:left="567" w:header="567" w:footer="567"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altName w:val="汉仪旗黑"/>
    <w:panose1 w:val="020B0503020204020204"/>
    <w:charset w:val="86"/>
    <w:family w:val="auto"/>
    <w:pitch w:val="default"/>
    <w:sig w:usb0="00000000" w:usb1="00000000" w:usb2="00000016" w:usb3="00000000" w:csb0="0004001F" w:csb1="00000000"/>
  </w:font>
  <w:font w:name="微软简老宋">
    <w:altName w:val="汉仪书宋二KW"/>
    <w:panose1 w:val="00000000000000000000"/>
    <w:charset w:val="00"/>
    <w:family w:val="auto"/>
    <w:pitch w:val="default"/>
    <w:sig w:usb0="00000000" w:usb1="00000000" w:usb2="00000000" w:usb3="00000000" w:csb0="00000000" w:csb1="00000000"/>
  </w:font>
  <w:font w:name="华文琥珀">
    <w:altName w:val="宋体-简"/>
    <w:panose1 w:val="02010800040101010101"/>
    <w:charset w:val="86"/>
    <w:family w:val="auto"/>
    <w:pitch w:val="default"/>
    <w:sig w:usb0="00000000" w:usb1="00000000" w:usb2="00000000" w:usb3="00000000" w:csb0="00040000"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儷宋 Pro">
    <w:panose1 w:val="02020300000000000000"/>
    <w:charset w:val="88"/>
    <w:family w:val="auto"/>
    <w:pitch w:val="default"/>
    <w:sig w:usb0="80000001" w:usb1="28091800" w:usb2="00000016" w:usb3="00000000" w:csb0="00100000" w:csb1="00000000"/>
  </w:font>
  <w:font w:name="宋体-简">
    <w:panose1 w:val="02010800040101010101"/>
    <w:charset w:val="86"/>
    <w:family w:val="auto"/>
    <w:pitch w:val="default"/>
    <w:sig w:usb0="00000001" w:usb1="080F0000" w:usb2="00000000" w:usb3="00000000" w:csb0="00040000" w:csb1="00000000"/>
  </w:font>
  <w:font w:name="汉仪旗黑">
    <w:panose1 w:val="00020600040101010101"/>
    <w:charset w:val="86"/>
    <w:family w:val="auto"/>
    <w:pitch w:val="default"/>
    <w:sig w:usb0="A00002BF" w:usb1="1ACF7CFA" w:usb2="00000016" w:usb3="00000000" w:csb0="0004009F" w:csb1="DFD7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4659">
    <w:pPr>
      <w:pStyle w:val="3"/>
    </w:pPr>
    <w:r>
      <w:rPr>
        <w:sz w:val="18"/>
      </w:rPr>
      <mc:AlternateContent>
        <mc:Choice Requires="wps">
          <w:drawing>
            <wp:anchor distT="0" distB="0" distL="114300" distR="114300" simplePos="0" relativeHeight="251662336" behindDoc="0" locked="0" layoutInCell="1" allowOverlap="1">
              <wp:simplePos x="0" y="0"/>
              <wp:positionH relativeFrom="column">
                <wp:posOffset>2927985</wp:posOffset>
              </wp:positionH>
              <wp:positionV relativeFrom="paragraph">
                <wp:posOffset>-3375660</wp:posOffset>
              </wp:positionV>
              <wp:extent cx="1343025" cy="447675"/>
              <wp:effectExtent l="0" t="0" r="9525" b="9525"/>
              <wp:wrapNone/>
              <wp:docPr id="4" name="矩形 4"/>
              <wp:cNvGraphicFramePr/>
              <a:graphic xmlns:a="http://schemas.openxmlformats.org/drawingml/2006/main">
                <a:graphicData uri="http://schemas.microsoft.com/office/word/2010/wordprocessingShape">
                  <wps:wsp>
                    <wps:cNvSpPr/>
                    <wps:spPr>
                      <a:xfrm>
                        <a:off x="3489960" y="6546850"/>
                        <a:ext cx="1343025" cy="447675"/>
                      </a:xfrm>
                      <a:prstGeom prst="rect">
                        <a:avLst/>
                      </a:prstGeom>
                      <a:solidFill>
                        <a:schemeClr val="bg1"/>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30.55pt;margin-top:-265.8pt;height:35.25pt;width:105.75pt;z-index:251662336;v-text-anchor:middle;mso-width-relative:page;mso-height-relative:page;" fillcolor="#FFFFFF [3212]" filled="t" stroked="f" coordsize="21600,21600" o:gfxdata="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eNw4N2wAAAA0BAAAPAAAAAAAAAAEAIAAAACIA&#10;AABkcnMvZG93bnJldi54bWxQSwECFAAUAAAACACHTuJAS0vXEHgCAADXBAAADgAAAAAAAAABACAA&#10;AAAqAQAAZHJzL2Uyb0RvYy54bWxQSwUGAAAAAAYABgBZAQAAFAYAAAAA&#10;">
              <v:fill on="t" focussize="0,0"/>
              <v:stroke on="f" weight="1pt" miterlimit="8" joinstyle="miter"/>
              <v:imagedata o:title=""/>
              <o:lock v:ext="edit" aspectratio="f"/>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C397F">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6253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DF4CF">
    <w:pPr>
      <w:pStyle w:val="4"/>
    </w:pPr>
    <w:r>
      <w:drawing>
        <wp:anchor distT="0" distB="0" distL="114300" distR="114300" simplePos="0" relativeHeight="251659264" behindDoc="0" locked="0" layoutInCell="1" allowOverlap="1">
          <wp:simplePos x="0" y="0"/>
          <wp:positionH relativeFrom="column">
            <wp:posOffset>-1270</wp:posOffset>
          </wp:positionH>
          <wp:positionV relativeFrom="paragraph">
            <wp:posOffset>-55245</wp:posOffset>
          </wp:positionV>
          <wp:extent cx="6659880" cy="9719945"/>
          <wp:effectExtent l="125095" t="150495" r="130175" b="3159760"/>
          <wp:wrapNone/>
          <wp:docPr id="13" name="图片 13" descr="11_01"/>
          <wp:cNvGraphicFramePr/>
          <a:graphic xmlns:a="http://schemas.openxmlformats.org/drawingml/2006/main">
            <a:graphicData uri="http://schemas.openxmlformats.org/drawingml/2006/picture">
              <pic:pic xmlns:pic="http://schemas.openxmlformats.org/drawingml/2006/picture">
                <pic:nvPicPr>
                  <pic:cNvPr id="13" name="图片 13" descr="11_01"/>
                  <pic:cNvPicPr/>
                </pic:nvPicPr>
                <pic:blipFill>
                  <a:blip r:embed="rId1"/>
                  <a:stretch>
                    <a:fillRect/>
                  </a:stretch>
                </pic:blipFill>
                <pic:spPr>
                  <a:xfrm>
                    <a:off x="0" y="0"/>
                    <a:ext cx="6659880" cy="9719945"/>
                  </a:xfrm>
                  <a:prstGeom prst="rect">
                    <a:avLst/>
                  </a:prstGeom>
                  <a:effectLst>
                    <a:outerShdw blurRad="63500" sx="102000" sy="102000" algn="ctr" rotWithShape="0">
                      <a:prstClr val="black">
                        <a:alpha val="40000"/>
                      </a:prstClr>
                    </a:outerShdw>
                    <a:reflection blurRad="6350" stA="15000" endA="300" endPos="35000" dir="5400000" sy="-100000" algn="bl" rotWithShape="0"/>
                  </a:effectLst>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7A733">
    <w:pPr>
      <w:pStyle w:val="4"/>
    </w:pPr>
    <w:r>
      <w:drawing>
        <wp:anchor distT="0" distB="0" distL="114300" distR="114300" simplePos="0" relativeHeight="251660288" behindDoc="0" locked="0" layoutInCell="1" allowOverlap="1">
          <wp:simplePos x="0" y="0"/>
          <wp:positionH relativeFrom="column">
            <wp:posOffset>-1270</wp:posOffset>
          </wp:positionH>
          <wp:positionV relativeFrom="paragraph">
            <wp:posOffset>-55245</wp:posOffset>
          </wp:positionV>
          <wp:extent cx="6659880" cy="9719945"/>
          <wp:effectExtent l="125095" t="150495" r="130175" b="3159760"/>
          <wp:wrapNone/>
          <wp:docPr id="1" name="图片 1" descr="11_01"/>
          <wp:cNvGraphicFramePr/>
          <a:graphic xmlns:a="http://schemas.openxmlformats.org/drawingml/2006/main">
            <a:graphicData uri="http://schemas.openxmlformats.org/drawingml/2006/picture">
              <pic:pic xmlns:pic="http://schemas.openxmlformats.org/drawingml/2006/picture">
                <pic:nvPicPr>
                  <pic:cNvPr id="1" name="图片 1" descr="11_01"/>
                  <pic:cNvPicPr/>
                </pic:nvPicPr>
                <pic:blipFill>
                  <a:blip r:embed="rId1"/>
                  <a:stretch>
                    <a:fillRect/>
                  </a:stretch>
                </pic:blipFill>
                <pic:spPr>
                  <a:xfrm>
                    <a:off x="0" y="0"/>
                    <a:ext cx="6659880" cy="9719945"/>
                  </a:xfrm>
                  <a:prstGeom prst="rect">
                    <a:avLst/>
                  </a:prstGeom>
                  <a:effectLst>
                    <a:outerShdw blurRad="63500" sx="102000" sy="102000" algn="ctr" rotWithShape="0">
                      <a:prstClr val="black">
                        <a:alpha val="40000"/>
                      </a:prstClr>
                    </a:outerShdw>
                    <a:reflection blurRad="6350" stA="15000" endA="300" endPos="35000" dir="5400000" sy="-100000" algn="bl" rotWithShape="0"/>
                  </a:effectLst>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5B17E">
    <w:pPr>
      <w:pStyle w:val="4"/>
      <w:pBdr>
        <w:bottom w:val="none" w:color="auto" w:sz="0" w:space="0"/>
      </w:pBdr>
    </w:pPr>
    <w:r>
      <w:rPr>
        <w:sz w:val="18"/>
      </w:rPr>
      <mc:AlternateContent>
        <mc:Choice Requires="wps">
          <w:drawing>
            <wp:anchor distT="0" distB="0" distL="114300" distR="114300" simplePos="0" relativeHeight="251663360" behindDoc="0" locked="0" layoutInCell="1" allowOverlap="1">
              <wp:simplePos x="0" y="0"/>
              <wp:positionH relativeFrom="column">
                <wp:posOffset>8890</wp:posOffset>
              </wp:positionH>
              <wp:positionV relativeFrom="paragraph">
                <wp:posOffset>-6985</wp:posOffset>
              </wp:positionV>
              <wp:extent cx="6841490" cy="9972040"/>
              <wp:effectExtent l="6350" t="6350" r="10160" b="22860"/>
              <wp:wrapNone/>
              <wp:docPr id="12" name="圆角矩形 12"/>
              <wp:cNvGraphicFramePr/>
              <a:graphic xmlns:a="http://schemas.openxmlformats.org/drawingml/2006/main">
                <a:graphicData uri="http://schemas.microsoft.com/office/word/2010/wordprocessingShape">
                  <wps:wsp>
                    <wps:cNvSpPr/>
                    <wps:spPr>
                      <a:xfrm>
                        <a:off x="0" y="0"/>
                        <a:ext cx="6841490" cy="9972040"/>
                      </a:xfrm>
                      <a:prstGeom prst="roundRect">
                        <a:avLst>
                          <a:gd name="adj" fmla="val 1693"/>
                        </a:avLst>
                      </a:prstGeom>
                      <a:solidFill>
                        <a:schemeClr val="bg1"/>
                      </a:solidFill>
                      <a:ln>
                        <a:gradFill>
                          <a:gsLst>
                            <a:gs pos="100000">
                              <a:srgbClr val="B3CED5"/>
                            </a:gs>
                            <a:gs pos="0">
                              <a:srgbClr val="DDE3D8"/>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7pt;margin-top:-0.55pt;height:785.2pt;width:538.7pt;z-index:251663360;v-text-anchor:middle;mso-width-relative:page;mso-height-relative:page;" fillcolor="#FFFFFF [3212]" filled="t" stroked="t" coordsize="21600,21600" arcsize="0.0169444444444444" o:gfxdata="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E3QcrrYAAAACgEAAA8AAAAAAAAAAQAgAAAAIgAAAGRycy9kb3ducmV2LnhtbFBLAQIUABQAAAAI&#10;AIdO4kBGWCTF0QIAAKcFAAAOAAAAAAAAAAEAIAAAACcBAABkcnMvZTJvRG9jLnhtbFBLBQYAAAAA&#10;BgAGAFkBAABqBgAAAAA=&#10;">
              <v:fill on="t" focussize="0,0"/>
              <v:stroke weight="1pt" color="#000000" miterlimit="8" joinstyle="miter"/>
              <v:imagedata o:title=""/>
              <o:lock v:ext="edit" aspectratio="f"/>
            </v:round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91E6A">
    <w:pPr>
      <w:pStyle w:val="4"/>
      <w:pBdr>
        <w:bottom w:val="none" w:color="auto" w:sz="0" w:space="1"/>
      </w:pBdr>
    </w:pPr>
    <w:r>
      <w:rPr>
        <w:sz w:val="18"/>
      </w:rPr>
      <mc:AlternateContent>
        <mc:Choice Requires="wps">
          <w:drawing>
            <wp:anchor distT="0" distB="0" distL="114300" distR="114300" simplePos="0" relativeHeight="251664384" behindDoc="0" locked="0" layoutInCell="1" allowOverlap="1">
              <wp:simplePos x="0" y="0"/>
              <wp:positionH relativeFrom="column">
                <wp:posOffset>1905</wp:posOffset>
              </wp:positionH>
              <wp:positionV relativeFrom="paragraph">
                <wp:posOffset>-20320</wp:posOffset>
              </wp:positionV>
              <wp:extent cx="6841490" cy="9972040"/>
              <wp:effectExtent l="6350" t="6350" r="10160" b="22860"/>
              <wp:wrapNone/>
              <wp:docPr id="14" name="圆角矩形 14"/>
              <wp:cNvGraphicFramePr/>
              <a:graphic xmlns:a="http://schemas.openxmlformats.org/drawingml/2006/main">
                <a:graphicData uri="http://schemas.microsoft.com/office/word/2010/wordprocessingShape">
                  <wps:wsp>
                    <wps:cNvSpPr/>
                    <wps:spPr>
                      <a:xfrm>
                        <a:off x="0" y="0"/>
                        <a:ext cx="6841490" cy="9972040"/>
                      </a:xfrm>
                      <a:prstGeom prst="roundRect">
                        <a:avLst>
                          <a:gd name="adj" fmla="val 1693"/>
                        </a:avLst>
                      </a:prstGeom>
                      <a:solidFill>
                        <a:schemeClr val="bg1"/>
                      </a:solidFill>
                      <a:ln>
                        <a:gradFill>
                          <a:gsLst>
                            <a:gs pos="100000">
                              <a:srgbClr val="B3CED5"/>
                            </a:gs>
                            <a:gs pos="0">
                              <a:srgbClr val="DDE3D8"/>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15pt;margin-top:-1.6pt;height:785.2pt;width:538.7pt;z-index:251664384;v-text-anchor:middle;mso-width-relative:page;mso-height-relative:page;" fillcolor="#FFFFFF [3212]" filled="t" stroked="t" coordsize="21600,21600" arcsize="0.0169444444444444" o:gfxdata="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">
              <v:fill on="t" focussize="0,0"/>
              <v:stroke weight="1pt" color="#000000" miterlimit="8" joinstyle="miter"/>
              <v:imagedata o:title=""/>
              <o:lock v:ext="edit" aspectratio="f"/>
            </v:round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853D99"/>
    <w:multiLevelType w:val="multilevel"/>
    <w:tmpl w:val="6A853D9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A25437"/>
    <w:rsid w:val="1A5F23BB"/>
    <w:rsid w:val="1AEF4210"/>
    <w:rsid w:val="34FEA1DE"/>
    <w:rsid w:val="54A25437"/>
    <w:rsid w:val="5F4F5BF4"/>
    <w:rsid w:val="5F5B6638"/>
    <w:rsid w:val="78ED93CF"/>
    <w:rsid w:val="B7AD7C2A"/>
    <w:rsid w:val="BFEF11AA"/>
    <w:rsid w:val="D56FBD9A"/>
    <w:rsid w:val="F3FFF982"/>
    <w:rsid w:val="F7F7BD91"/>
    <w:rsid w:val="FA543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qFormat/>
    <w:uiPriority w:val="0"/>
    <w:pPr>
      <w:spacing w:before="240" w:beforeLines="0" w:beforeAutospacing="0" w:after="60" w:afterLines="0" w:afterAutospacing="0"/>
      <w:jc w:val="center"/>
      <w:outlineLvl w:val="0"/>
    </w:pPr>
    <w:rPr>
      <w:rFonts w:ascii="Arial" w:hAnsi="Arial"/>
      <w:b/>
      <w:sz w:val="32"/>
    </w:rPr>
  </w:style>
  <w:style w:type="table" w:styleId="7">
    <w:name w:val="Table Grid"/>
    <w:basedOn w:val="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习题正文"/>
    <w:basedOn w:val="2"/>
    <w:next w:val="1"/>
    <w:qFormat/>
    <w:uiPriority w:val="0"/>
    <w:pPr>
      <w:adjustRightInd w:val="0"/>
      <w:spacing w:line="240" w:lineRule="auto"/>
      <w:ind w:firstLine="800" w:firstLineChars="200"/>
      <w:jc w:val="both"/>
    </w:pPr>
    <w:rPr>
      <w:rFonts w:hint="eastAsia" w:ascii="微软雅黑" w:hAnsi="微软雅黑" w:eastAsia="宋体" w:cs="微软雅黑"/>
      <w:color w:val="000000"/>
    </w:rPr>
  </w:style>
  <w:style w:type="paragraph" w:customStyle="1" w:styleId="10">
    <w:name w:val="本章学习"/>
    <w:basedOn w:val="5"/>
    <w:next w:val="1"/>
    <w:qFormat/>
    <w:uiPriority w:val="0"/>
    <w:pPr>
      <w:adjustRightInd w:val="0"/>
      <w:spacing w:line="288" w:lineRule="auto"/>
    </w:pPr>
    <w:rPr>
      <w:rFonts w:hint="eastAsia" w:ascii="微软雅黑" w:hAnsi="微软雅黑" w:eastAsia="微软雅黑" w:cs="微软雅黑"/>
      <w:color w:val="000000"/>
      <w:sz w:val="40"/>
    </w:rPr>
  </w:style>
  <w:style w:type="paragraph" w:customStyle="1" w:styleId="11">
    <w:name w:val="Heading #3|1"/>
    <w:basedOn w:val="1"/>
    <w:qFormat/>
    <w:uiPriority w:val="0"/>
    <w:pPr>
      <w:spacing w:after="160"/>
      <w:outlineLvl w:val="2"/>
    </w:pPr>
    <w:rPr>
      <w:rFonts w:ascii="宋体" w:hAnsi="宋体" w:cs="宋体"/>
      <w:color w:val="EC008D"/>
      <w:sz w:val="20"/>
      <w:szCs w:val="20"/>
      <w:lang w:val="zh-TW" w:eastAsia="zh-TW" w:bidi="zh-TW"/>
    </w:r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Body text|1"/>
    <w:basedOn w:val="1"/>
    <w:unhideWhenUsed/>
    <w:qFormat/>
    <w:uiPriority w:val="0"/>
    <w:pPr>
      <w:spacing w:line="360" w:lineRule="auto"/>
      <w:ind w:firstLine="400"/>
    </w:pPr>
    <w:rPr>
      <w:rFonts w:ascii="宋体" w:hAnsi="宋体" w:cs="宋体"/>
      <w:sz w:val="20"/>
      <w:szCs w:val="2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43</TotalTime>
  <ScaleCrop>false</ScaleCrop>
  <LinksUpToDate>false</LinksUpToDate>
  <CharactersWithSpaces>0</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2025-07-10T18:53:00Z</dcterms:created>
  <dc:creator>六月</dc:creator>
  <cp:lastModifiedBy>无谓</cp:lastModifiedBy>
  <dcterms:modified xsi:type="dcterms:W3CDTF">2025-07-14T21:40:26Z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3650A8D29E44D4A217CB6C68474BDCAA_43</vt:lpwstr>
  </property>
  <property fmtid="{D5CDD505-2E9C-101B-9397-08002B2CF9AE}" pid="4" name="KSOTemplateDocerSaveRecord">
    <vt:lpwstr>eyJoZGlkIjoiOTcxZjc4Y2ViNTBlZDVmZTI3YTAxZGE1NWVmM2E2NDEiLCJ1c2VySWQiOiI0MDMzMDA2MzYifQ==</vt:lpwstr>
  </property>
</Properties>
</file>