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76AD58C6">
      <w:pPr>
        <w:keepNext/>
        <w:keepLines/>
        <w:spacing w:before="260" w:after="260" w:line="416" w:lineRule="atLeast"/>
        <w:jc w:val="both"/>
        <w:outlineLvl w:val="1"/>
        <w:rPr>
          <w:rFonts w:hint="eastAsia" w:ascii="Times New Roman" w:hAnsi="Times New Roman"/>
          <w:b/>
          <w:bCs/>
          <w:sz w:val="28"/>
          <w:szCs w:val="28"/>
        </w:rPr>
      </w:pPr>
    </w:p>
    <w:p w14:paraId="5FA1605D">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《老年人营养膳食与保健》</w:t>
      </w:r>
    </w:p>
    <w:p w14:paraId="72DD4894">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E81C5F3">
      <w:pPr>
        <w:keepNext/>
        <w:keepLines/>
        <w:spacing w:before="260" w:after="260" w:line="240" w:lineRule="auto"/>
        <w:jc w:val="center"/>
        <w:outlineLvl w:val="1"/>
        <w:rPr>
          <w:rFonts w:hint="eastAsia" w:ascii="Times New Roman" w:hAnsi="Times New Roman"/>
          <w:b/>
          <w:bCs/>
          <w:sz w:val="21"/>
          <w:szCs w:val="21"/>
        </w:rPr>
      </w:pPr>
    </w:p>
    <w:p w14:paraId="412EDB9B">
      <w:pPr>
        <w:keepNext/>
        <w:keepLines/>
        <w:spacing w:before="260" w:after="260" w:line="240" w:lineRule="auto"/>
        <w:jc w:val="center"/>
        <w:outlineLvl w:val="1"/>
        <w:rPr>
          <w:rFonts w:hint="eastAsia" w:ascii="Times New Roman" w:hAnsi="Times New Roman"/>
          <w:b/>
          <w:bCs/>
          <w:sz w:val="21"/>
          <w:szCs w:val="21"/>
        </w:rPr>
      </w:pPr>
    </w:p>
    <w:p w14:paraId="1DE0F138">
      <w:pPr>
        <w:keepNext/>
        <w:keepLines/>
        <w:spacing w:before="260" w:after="260" w:line="240" w:lineRule="auto"/>
        <w:jc w:val="center"/>
        <w:outlineLvl w:val="1"/>
        <w:rPr>
          <w:rFonts w:hint="eastAsia" w:ascii="Times New Roman" w:hAnsi="Times New Roman"/>
          <w:b/>
          <w:bCs/>
          <w:sz w:val="21"/>
          <w:szCs w:val="21"/>
        </w:rPr>
      </w:pPr>
    </w:p>
    <w:p w14:paraId="7F875E9A">
      <w:pPr>
        <w:keepNext/>
        <w:keepLines/>
        <w:spacing w:before="260" w:after="260" w:line="240" w:lineRule="auto"/>
        <w:jc w:val="center"/>
        <w:outlineLvl w:val="1"/>
        <w:rPr>
          <w:rFonts w:hint="eastAsia" w:ascii="Times New Roman" w:hAnsi="Times New Roman"/>
          <w:b/>
          <w:bCs/>
          <w:sz w:val="21"/>
          <w:szCs w:val="21"/>
        </w:rPr>
      </w:pPr>
    </w:p>
    <w:p w14:paraId="25768923">
      <w:pPr>
        <w:keepNext/>
        <w:keepLines/>
        <w:spacing w:before="260" w:after="260" w:line="240" w:lineRule="auto"/>
        <w:jc w:val="center"/>
        <w:outlineLvl w:val="1"/>
        <w:rPr>
          <w:rFonts w:hint="eastAsia" w:ascii="Times New Roman" w:hAnsi="Times New Roman"/>
          <w:b/>
          <w:bCs/>
          <w:sz w:val="21"/>
          <w:szCs w:val="21"/>
        </w:rPr>
      </w:pPr>
    </w:p>
    <w:p w14:paraId="7B0338A8">
      <w:pPr>
        <w:keepNext/>
        <w:keepLines/>
        <w:spacing w:before="260" w:after="260" w:line="240" w:lineRule="auto"/>
        <w:jc w:val="center"/>
        <w:outlineLvl w:val="1"/>
        <w:rPr>
          <w:rFonts w:hint="eastAsia" w:ascii="Times New Roman" w:hAnsi="Times New Roman"/>
          <w:b/>
          <w:bCs/>
          <w:sz w:val="21"/>
          <w:szCs w:val="21"/>
        </w:rPr>
      </w:pPr>
    </w:p>
    <w:p w14:paraId="00F1166D">
      <w:pPr>
        <w:keepNext/>
        <w:keepLines/>
        <w:spacing w:before="260" w:after="260" w:line="240" w:lineRule="auto"/>
        <w:jc w:val="center"/>
        <w:outlineLvl w:val="1"/>
        <w:rPr>
          <w:rFonts w:hint="eastAsia" w:ascii="Times New Roman" w:hAnsi="Times New Roman"/>
          <w:b/>
          <w:bCs/>
          <w:sz w:val="21"/>
          <w:szCs w:val="21"/>
        </w:rPr>
      </w:pPr>
    </w:p>
    <w:p w14:paraId="23BA17FF">
      <w:pPr>
        <w:keepNext/>
        <w:keepLines/>
        <w:spacing w:before="260" w:after="260" w:line="240" w:lineRule="auto"/>
        <w:jc w:val="center"/>
        <w:outlineLvl w:val="1"/>
        <w:rPr>
          <w:rFonts w:hint="eastAsia" w:ascii="Times New Roman" w:hAnsi="Times New Roman"/>
          <w:b/>
          <w:bCs/>
          <w:sz w:val="21"/>
          <w:szCs w:val="21"/>
        </w:rPr>
      </w:pPr>
    </w:p>
    <w:p w14:paraId="2327EB3A">
      <w:pPr>
        <w:keepNext/>
        <w:keepLines/>
        <w:spacing w:before="260" w:after="260" w:line="240" w:lineRule="auto"/>
        <w:jc w:val="center"/>
        <w:outlineLvl w:val="1"/>
        <w:rPr>
          <w:rFonts w:hint="eastAsia" w:ascii="Times New Roman" w:hAnsi="Times New Roman"/>
          <w:b/>
          <w:bCs/>
          <w:sz w:val="21"/>
          <w:szCs w:val="21"/>
        </w:rPr>
      </w:pPr>
    </w:p>
    <w:p w14:paraId="0AF477C6">
      <w:pPr>
        <w:keepNext/>
        <w:keepLines/>
        <w:spacing w:before="260" w:after="260" w:line="240" w:lineRule="auto"/>
        <w:jc w:val="center"/>
        <w:outlineLvl w:val="1"/>
        <w:rPr>
          <w:rFonts w:hint="eastAsia" w:ascii="Times New Roman" w:hAnsi="Times New Roman"/>
          <w:b/>
          <w:bCs/>
          <w:sz w:val="21"/>
          <w:szCs w:val="21"/>
        </w:rPr>
      </w:pPr>
    </w:p>
    <w:p w14:paraId="6F5E276E">
      <w:pPr>
        <w:keepNext/>
        <w:keepLines/>
        <w:spacing w:before="260" w:after="260" w:line="240" w:lineRule="auto"/>
        <w:jc w:val="center"/>
        <w:outlineLvl w:val="1"/>
        <w:rPr>
          <w:rFonts w:hint="eastAsia" w:ascii="Times New Roman" w:hAnsi="Times New Roman"/>
          <w:b/>
          <w:bCs/>
          <w:sz w:val="28"/>
          <w:szCs w:val="28"/>
        </w:rPr>
      </w:pPr>
    </w:p>
    <w:p w14:paraId="6B55393A">
      <w:pPr>
        <w:keepNext/>
        <w:keepLines/>
        <w:spacing w:before="260" w:after="260" w:line="240" w:lineRule="auto"/>
        <w:jc w:val="center"/>
        <w:outlineLvl w:val="1"/>
        <w:rPr>
          <w:rFonts w:hint="eastAsia" w:ascii="Times New Roman" w:hAnsi="Times New Roman"/>
          <w:b/>
          <w:bCs/>
          <w:sz w:val="28"/>
          <w:szCs w:val="28"/>
        </w:rPr>
      </w:pPr>
    </w:p>
    <w:p w14:paraId="66B49C36">
      <w:pPr>
        <w:keepNext/>
        <w:keepLines/>
        <w:spacing w:before="260" w:after="260" w:line="240" w:lineRule="auto"/>
        <w:jc w:val="center"/>
        <w:outlineLvl w:val="1"/>
        <w:rPr>
          <w:rFonts w:hint="eastAsia" w:ascii="Times New Roman" w:hAnsi="Times New Roman"/>
          <w:b/>
          <w:bCs/>
          <w:sz w:val="28"/>
          <w:szCs w:val="28"/>
        </w:rPr>
      </w:pPr>
    </w:p>
    <w:p w14:paraId="0419D252">
      <w:pPr>
        <w:keepNext/>
        <w:keepLines/>
        <w:spacing w:before="260" w:after="260" w:line="240" w:lineRule="auto"/>
        <w:jc w:val="center"/>
        <w:outlineLvl w:val="1"/>
        <w:rPr>
          <w:rFonts w:hint="eastAsia" w:ascii="Times New Roman" w:hAnsi="Times New Roman"/>
          <w:b/>
          <w:bCs/>
          <w:sz w:val="28"/>
          <w:szCs w:val="28"/>
        </w:rPr>
      </w:pPr>
    </w:p>
    <w:p w14:paraId="1B154304">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29D5CC5B">
      <w:pPr>
        <w:keepNext/>
        <w:keepLines/>
        <w:spacing w:before="260" w:after="260" w:line="416" w:lineRule="atLeast"/>
        <w:jc w:val="center"/>
        <w:outlineLvl w:val="1"/>
        <w:rPr>
          <w:rFonts w:hint="eastAsia" w:ascii="Times New Roman" w:hAnsi="Times New Roman" w:eastAsia="宋体"/>
          <w:b/>
          <w:bCs/>
          <w:color w:val="7030A0"/>
          <w:sz w:val="28"/>
          <w:szCs w:val="28"/>
          <w:lang w:eastAsia="zh-CN"/>
        </w:rPr>
      </w:pPr>
      <w:bookmarkStart w:id="2" w:name="_GoBack"/>
      <w:bookmarkEnd w:id="2"/>
      <w:r>
        <w:rPr>
          <w:rFonts w:hint="eastAsia" w:ascii="微软简老宋" w:hAnsi="微软简老宋" w:eastAsia="微软简老宋" w:cs="微软简老宋"/>
          <w:b w:val="0"/>
          <w:bCs w:val="0"/>
          <w:color w:val="7030A0"/>
          <w:sz w:val="32"/>
          <w:szCs w:val="32"/>
          <w:lang w:val="en-US" w:eastAsia="zh-CN"/>
        </w:rPr>
        <w:t>绪论</w:t>
      </w:r>
    </w:p>
    <w:tbl>
      <w:tblPr>
        <w:tblStyle w:val="10"/>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384969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478157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35FA90CE">
            <w:pPr>
              <w:keepNext w:val="0"/>
              <w:keepLines w:val="0"/>
              <w:suppressLineNumbers w:val="0"/>
              <w:spacing w:before="0" w:beforeAutospacing="0" w:after="0" w:afterAutospacing="0" w:line="360" w:lineRule="auto"/>
              <w:ind w:left="0" w:right="0" w:hanging="8"/>
              <w:rPr>
                <w:rFonts w:hint="default" w:ascii="Times New Roman" w:hAnsi="Times New Roman" w:eastAsia="宋体"/>
                <w:b/>
                <w:bCs/>
                <w:color w:val="FF0000"/>
                <w:sz w:val="24"/>
                <w:szCs w:val="24"/>
                <w:lang w:val="en-US" w:eastAsia="zh-CN"/>
              </w:rPr>
            </w:pPr>
            <w:r>
              <w:rPr>
                <w:rFonts w:hint="eastAsia" w:ascii="Times New Roman" w:hAnsi="宋体"/>
                <w:b/>
                <w:bCs/>
                <w:color w:val="7030A0"/>
                <w:sz w:val="32"/>
                <w:szCs w:val="32"/>
                <w:lang w:val="en-US" w:eastAsia="zh-CN"/>
              </w:rPr>
              <w:t>绪论</w:t>
            </w:r>
          </w:p>
        </w:tc>
      </w:tr>
      <w:tr w14:paraId="3876352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4D3FE4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50F2858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min）。</w:t>
            </w:r>
          </w:p>
        </w:tc>
      </w:tr>
      <w:tr w14:paraId="061FC37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3F2A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03E501A4">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rPr>
              <w:t>技能</w:t>
            </w:r>
            <w:r>
              <w:rPr>
                <w:rFonts w:hint="default" w:hAnsi="宋体"/>
                <w:b/>
                <w:color w:val="7030A0"/>
                <w:sz w:val="24"/>
                <w:szCs w:val="24"/>
              </w:rPr>
              <w:t>目标：</w:t>
            </w:r>
          </w:p>
          <w:p w14:paraId="290A66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cs="Times New Roman"/>
                <w:bCs/>
                <w:sz w:val="24"/>
                <w:szCs w:val="24"/>
                <w:lang w:val="en-US" w:eastAsia="zh-CN"/>
              </w:rPr>
            </w:pPr>
            <w:r>
              <w:rPr>
                <w:rFonts w:hint="eastAsia" w:ascii="Times New Roman" w:hAnsi="宋体" w:cs="Times New Roman"/>
                <w:bCs/>
                <w:sz w:val="24"/>
                <w:szCs w:val="24"/>
                <w:lang w:val="en-US" w:eastAsia="zh-CN"/>
              </w:rPr>
              <w:t>1.陈述营养、营养素、消化、吸收等营养学基本概念，了解营养学发展简史。</w:t>
            </w:r>
          </w:p>
          <w:p w14:paraId="50326B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cs="Times New Roman"/>
                <w:bCs/>
                <w:sz w:val="24"/>
                <w:szCs w:val="24"/>
                <w:lang w:val="en-US" w:eastAsia="zh-CN"/>
              </w:rPr>
            </w:pPr>
            <w:r>
              <w:rPr>
                <w:rFonts w:hint="eastAsia" w:ascii="Times New Roman" w:hAnsi="宋体" w:cs="Times New Roman"/>
                <w:bCs/>
                <w:sz w:val="24"/>
                <w:szCs w:val="24"/>
                <w:lang w:val="en-US" w:eastAsia="zh-CN"/>
              </w:rPr>
              <w:t>2.具备在社区、养老机构等场所实施健康宣教，运用观察法评估个体健康状况，运用日常生活活动评估表评估老年日常生活活动的能力。</w:t>
            </w:r>
          </w:p>
          <w:p w14:paraId="64F9F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38F16D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sz w:val="24"/>
                <w:szCs w:val="24"/>
              </w:rPr>
            </w:pPr>
            <w:r>
              <w:rPr>
                <w:rFonts w:hint="eastAsia" w:ascii="Times New Roman" w:hAnsi="宋体" w:cs="Times New Roman"/>
                <w:bCs/>
                <w:sz w:val="24"/>
                <w:szCs w:val="24"/>
                <w:lang w:val="en-US" w:eastAsia="zh-CN"/>
              </w:rPr>
              <w:t>1.激发学生学习本课程的兴趣并增进专业认同；帮助学生进一步确立科学求真的工作作风。</w:t>
            </w:r>
          </w:p>
        </w:tc>
      </w:tr>
      <w:tr w14:paraId="328562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1A560B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4D74BA4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color w:val="7030A0"/>
                <w:sz w:val="24"/>
                <w:szCs w:val="24"/>
              </w:rPr>
              <w:t>教学重点：</w:t>
            </w:r>
            <w:r>
              <w:rPr>
                <w:rFonts w:hint="eastAsia" w:ascii="Times New Roman" w:hAnsi="宋体" w:cs="Times New Roman"/>
                <w:bCs/>
                <w:sz w:val="24"/>
                <w:szCs w:val="24"/>
                <w:lang w:val="en-US" w:eastAsia="zh-CN"/>
              </w:rPr>
              <w:t>营养、营养素、消化、吸收、营养学简史</w:t>
            </w:r>
          </w:p>
          <w:p w14:paraId="735C45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sz w:val="24"/>
                <w:szCs w:val="24"/>
              </w:rPr>
            </w:pPr>
            <w:r>
              <w:rPr>
                <w:rFonts w:hint="eastAsia" w:ascii="Times New Roman" w:hAnsi="Times New Roman"/>
                <w:b/>
                <w:color w:val="7030A0"/>
                <w:sz w:val="24"/>
                <w:szCs w:val="24"/>
              </w:rPr>
              <w:t>教学难点：</w:t>
            </w:r>
            <w:r>
              <w:rPr>
                <w:rFonts w:hint="eastAsia" w:ascii="Times New Roman" w:hAnsi="宋体" w:cs="Times New Roman"/>
                <w:bCs/>
                <w:sz w:val="24"/>
                <w:szCs w:val="24"/>
                <w:lang w:val="en-US" w:eastAsia="zh-CN"/>
              </w:rPr>
              <w:t>日常生活活动评估表的运用</w:t>
            </w:r>
          </w:p>
        </w:tc>
      </w:tr>
      <w:tr w14:paraId="4FD6966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106A6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65CC6B2B">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宋体"/>
                <w:sz w:val="24"/>
                <w:szCs w:val="24"/>
              </w:rPr>
              <w:t>讲授法、问答法、讨论法</w:t>
            </w:r>
          </w:p>
        </w:tc>
      </w:tr>
      <w:tr w14:paraId="6248C5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1A4FBA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573BEBB9">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r>
              <w:rPr>
                <w:rFonts w:hint="eastAsia" w:ascii="Times New Roman" w:hAnsi="宋体"/>
                <w:sz w:val="24"/>
                <w:szCs w:val="24"/>
                <w:lang w:eastAsia="zh-CN"/>
              </w:rPr>
              <w:t>、</w:t>
            </w:r>
            <w:r>
              <w:rPr>
                <w:rFonts w:hint="eastAsia" w:ascii="Times New Roman" w:hAnsi="宋体"/>
                <w:sz w:val="24"/>
                <w:szCs w:val="24"/>
                <w:lang w:val="en-US" w:eastAsia="zh-CN"/>
              </w:rPr>
              <w:t>超星学习通app</w:t>
            </w:r>
          </w:p>
        </w:tc>
      </w:tr>
      <w:tr w14:paraId="77732F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949DB5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6142D5B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lang w:val="en-US" w:eastAsia="zh-CN"/>
              </w:rPr>
              <w:t>与运用</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4D64A871">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lang w:val="en-US" w:eastAsia="zh-CN"/>
              </w:rPr>
              <w:t>与运用</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0B7D03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894751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DCD218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2AB6DCB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199800F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EEAD10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93C468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7F84D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宋体" w:cs="Times New Roman"/>
                <w:sz w:val="24"/>
                <w:szCs w:val="24"/>
                <w:lang w:val="en-US" w:eastAsia="zh-CN"/>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宋体" w:cs="Times New Roman"/>
                <w:sz w:val="24"/>
                <w:szCs w:val="24"/>
                <w:lang w:val="en-US" w:eastAsia="zh-CN"/>
              </w:rPr>
              <w:t>运用超星学习通app考勤</w:t>
            </w:r>
          </w:p>
          <w:p w14:paraId="5FC6E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w:t>
            </w:r>
            <w:r>
              <w:rPr>
                <w:rFonts w:hint="eastAsia" w:ascii="Times New Roman" w:hAnsi="Times New Roman"/>
                <w:color w:val="548235" w:themeColor="accent6" w:themeShade="BF"/>
                <w:sz w:val="24"/>
                <w:szCs w:val="24"/>
                <w:lang w:val="en-US" w:eastAsia="zh-CN"/>
              </w:rPr>
              <w:t>核对考勤结果并</w:t>
            </w:r>
            <w:r>
              <w:rPr>
                <w:rFonts w:hint="eastAsia" w:ascii="Times New Roman" w:hAnsi="Times New Roman"/>
                <w:color w:val="548235" w:themeColor="accent6" w:themeShade="BF"/>
                <w:sz w:val="24"/>
                <w:szCs w:val="24"/>
              </w:rPr>
              <w:t>报请假人员及原因</w:t>
            </w:r>
          </w:p>
        </w:tc>
        <w:tc>
          <w:tcPr>
            <w:tcW w:w="1696" w:type="dxa"/>
            <w:tcBorders>
              <w:tl2br w:val="nil"/>
              <w:tr2bl w:val="nil"/>
            </w:tcBorders>
            <w:vAlign w:val="center"/>
          </w:tcPr>
          <w:p w14:paraId="47E834E0">
            <w:pPr>
              <w:keepNext w:val="0"/>
              <w:keepLines w:val="0"/>
              <w:suppressLineNumbers w:val="0"/>
              <w:spacing w:before="0" w:beforeAutospacing="0" w:after="0" w:afterAutospacing="0" w:line="360" w:lineRule="auto"/>
              <w:ind w:left="0" w:right="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加强课堂组织性；及时</w:t>
            </w:r>
            <w:r>
              <w:rPr>
                <w:rFonts w:hint="eastAsia" w:ascii="Times New Roman" w:hAnsi="Times New Roman"/>
                <w:sz w:val="24"/>
                <w:szCs w:val="24"/>
              </w:rPr>
              <w:t>掌握学生</w:t>
            </w:r>
            <w:r>
              <w:rPr>
                <w:rFonts w:hint="eastAsia" w:ascii="Times New Roman" w:hAnsi="Times New Roman"/>
                <w:sz w:val="24"/>
                <w:szCs w:val="24"/>
                <w:lang w:val="en-US" w:eastAsia="zh-CN"/>
              </w:rPr>
              <w:t>动态，保证学生安全</w:t>
            </w:r>
          </w:p>
        </w:tc>
      </w:tr>
      <w:tr w14:paraId="07096F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58D31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89A0A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7E4D3FBC">
            <w:pPr>
              <w:keepNext w:val="0"/>
              <w:keepLines w:val="0"/>
              <w:widowControl/>
              <w:suppressLineNumbers w:val="0"/>
              <w:spacing w:before="0" w:beforeAutospacing="0" w:after="0" w:afterAutospacing="0" w:line="360" w:lineRule="auto"/>
              <w:ind w:left="0" w:right="0"/>
              <w:jc w:val="left"/>
              <w:rPr>
                <w:rFonts w:hint="eastAsia" w:ascii="宋体" w:hAnsi="宋体" w:cs="宋体"/>
                <w:b w:val="0"/>
                <w:bCs/>
                <w:color w:val="C00000"/>
                <w:kern w:val="2"/>
                <w:sz w:val="24"/>
                <w:szCs w:val="24"/>
                <w:lang w:val="en-US" w:eastAsia="zh-CN" w:bidi="ar"/>
              </w:rPr>
            </w:pPr>
            <w:r>
              <w:rPr>
                <w:rFonts w:hint="eastAsia" w:ascii="Times New Roman" w:hAnsi="Times New Roman"/>
                <w:b/>
                <w:color w:val="C00000"/>
                <w:sz w:val="24"/>
                <w:szCs w:val="24"/>
              </w:rPr>
              <w:t>【教师】</w:t>
            </w:r>
            <w:r>
              <w:rPr>
                <w:rFonts w:hint="eastAsia" w:ascii="宋体" w:hAnsi="宋体" w:cs="宋体"/>
                <w:b w:val="0"/>
                <w:bCs/>
                <w:color w:val="C00000"/>
                <w:kern w:val="2"/>
                <w:sz w:val="24"/>
                <w:szCs w:val="24"/>
                <w:lang w:val="en-US" w:eastAsia="zh-CN" w:bidi="ar"/>
              </w:rPr>
              <w:t>绪论</w:t>
            </w:r>
            <w:bookmarkStart w:id="0" w:name="_Toc125104466"/>
            <w:bookmarkStart w:id="1" w:name="_Toc125100429"/>
          </w:p>
          <w:p w14:paraId="4A313179">
            <w:pPr>
              <w:keepNext w:val="0"/>
              <w:keepLines w:val="0"/>
              <w:widowControl/>
              <w:numPr>
                <w:ilvl w:val="0"/>
                <w:numId w:val="1"/>
              </w:numPr>
              <w:suppressLineNumbers w:val="0"/>
              <w:spacing w:before="0" w:beforeAutospacing="0" w:after="0" w:afterAutospacing="0" w:line="360" w:lineRule="auto"/>
              <w:ind w:left="0" w:right="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营养学简史</w:t>
            </w:r>
            <w:bookmarkEnd w:id="0"/>
            <w:bookmarkEnd w:id="1"/>
          </w:p>
          <w:p w14:paraId="7985EC8B">
            <w:pPr>
              <w:keepNext w:val="0"/>
              <w:keepLines w:val="0"/>
              <w:widowControl/>
              <w:numPr>
                <w:ilvl w:val="0"/>
                <w:numId w:val="0"/>
              </w:numPr>
              <w:suppressLineNumbers w:val="0"/>
              <w:spacing w:before="0" w:beforeAutospacing="0" w:after="0" w:afterAutospacing="0" w:line="360" w:lineRule="auto"/>
              <w:ind w:left="0" w:right="0" w:rightChars="0" w:firstLine="480" w:firstLineChars="200"/>
              <w:jc w:val="left"/>
              <w:rPr>
                <w:rFonts w:hint="eastAsia" w:ascii="Calibri" w:hAnsi="宋体" w:eastAsia="宋体" w:cs="Times New Roman"/>
                <w:b w:val="0"/>
                <w:bCs/>
                <w:kern w:val="2"/>
                <w:sz w:val="24"/>
                <w:szCs w:val="24"/>
                <w:lang w:val="en-US" w:eastAsia="zh-CN" w:bidi="ar-SA"/>
              </w:rPr>
            </w:pPr>
            <w:r>
              <w:rPr>
                <w:rFonts w:hint="eastAsia" w:ascii="Calibri" w:hAnsi="宋体" w:eastAsia="宋体" w:cs="Times New Roman"/>
                <w:b w:val="0"/>
                <w:bCs/>
                <w:kern w:val="2"/>
                <w:sz w:val="24"/>
                <w:szCs w:val="24"/>
                <w:lang w:val="en-US" w:eastAsia="zh-CN" w:bidi="ar-SA"/>
              </w:rPr>
              <w:t>远在2000多年前，《黄帝内经·素问》中即提出“五谷为养、五果为助、五畜为益、五菜为充，气味合而服之，以补精益气”的饮食模式。</w:t>
            </w:r>
          </w:p>
          <w:p w14:paraId="015968B1">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现代营养学奠基于18世纪中叶,现代营养学的经典著作《营养学》,标志着现代营养学的诞生。</w:t>
            </w:r>
          </w:p>
          <w:p w14:paraId="60750D76">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整个19世纪到20世纪初，是发现和研究各种营养素的鼎盛时期。蛋白质、脂肪、碳水化合物、矿物质以外的营养素，特别是维生素的生理作用。对微量元素系统研究开始于1930年之后，在以后的40多年里，先后发现铜、锰、硒、锌等多种微量元素，并相继被确认为人体必需的微量元素。</w:t>
            </w:r>
          </w:p>
          <w:p w14:paraId="424A1A60">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近年来，对基础营养研究又有许多新进展，如膳食纤维的生理作用及其预防某些疾病的重要性逐渐被人们所认识。对多不饱和脂肪酸特别是n-3系列α一亚麻酸及其在体内形成二十碳五烯酸(EPA)和二十二碳六烯酸(DHA)的研究越来越受到关注。</w:t>
            </w:r>
          </w:p>
          <w:p w14:paraId="1ABF3D13">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营养素生理功能研究对传统的人体每日摄取推荐量（RDA）提出挑战,在RDA的基础上提出了每天参考摄入量(dai1yreference intake，DRI)的新概念。</w:t>
            </w:r>
          </w:p>
          <w:p w14:paraId="40FC2F85">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饮食、营养与某些重要慢性病，如癌症、心脑血管病、糖尿病等疾病的关系，已成为现代营养学研究的重要内容。营养因素与遗传基因的相互作用是营养学研究的新热点。除此之外，食物中非营养素生物活性成分也成为研究热点。</w:t>
            </w:r>
          </w:p>
          <w:p w14:paraId="72716757">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营养学进展和研究成果，只有在被民众了解和应用之后，才能发挥更大作用。为了指导民众合理地选择和应用食物，提高全民的营养水平，世界各国纷纷制订以食物为基础的饮食指南(food-based dietary guidelines)。2022年4月，《中国居民膳食指南（2022）》（第五版）正式发布。</w:t>
            </w:r>
          </w:p>
          <w:p w14:paraId="542EB42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1992在意大利罗马召开了世界营养大会并发布《世界营养宣言》和《营养行动计划》，号召各国政府保障食品供应、控制营养缺乏病、加强宣传教育，并制订国家营养改善行动计划。2019年7月发布《健康中国行动（2019～2030年）》，提出要积极应对当前突出健康问题，必须关口前移，采取有效干预措施，努力使群众不生病、少生病，提高生活质量，延长健康寿命。</w:t>
            </w:r>
          </w:p>
          <w:p w14:paraId="5376BEAC">
            <w:pPr>
              <w:keepNext w:val="0"/>
              <w:keepLines w:val="0"/>
              <w:numPr>
                <w:ilvl w:val="0"/>
                <w:numId w:val="0"/>
              </w:numPr>
              <w:suppressLineNumbers w:val="0"/>
              <w:spacing w:before="0" w:beforeAutospacing="0" w:after="0" w:afterAutospacing="0" w:line="360" w:lineRule="auto"/>
              <w:ind w:left="0" w:leftChars="0" w:right="0" w:rightChars="0"/>
              <w:rPr>
                <w:rFonts w:hint="eastAsia" w:hAnsi="宋体"/>
                <w:bCs/>
                <w:sz w:val="24"/>
                <w:szCs w:val="24"/>
                <w:lang w:val="en-US" w:eastAsia="zh-CN"/>
              </w:rPr>
            </w:pPr>
            <w:r>
              <w:rPr>
                <w:rFonts w:hint="eastAsia" w:hAnsi="宋体"/>
                <w:bCs/>
                <w:sz w:val="24"/>
                <w:szCs w:val="24"/>
                <w:lang w:val="en-US" w:eastAsia="zh-CN"/>
              </w:rPr>
              <w:t>二、营养学基本概念</w:t>
            </w:r>
          </w:p>
          <w:p w14:paraId="099427F3">
            <w:pPr>
              <w:keepNext w:val="0"/>
              <w:keepLines w:val="0"/>
              <w:numPr>
                <w:ilvl w:val="0"/>
                <w:numId w:val="0"/>
              </w:numPr>
              <w:suppressLineNumbers w:val="0"/>
              <w:spacing w:before="0" w:beforeAutospacing="0" w:after="0" w:afterAutospacing="0" w:line="360" w:lineRule="auto"/>
              <w:ind w:left="0" w:leftChars="0" w:right="0" w:rightChars="0" w:firstLine="480" w:firstLineChars="200"/>
              <w:rPr>
                <w:rFonts w:hint="eastAsia" w:hAnsi="宋体"/>
                <w:bCs/>
                <w:sz w:val="24"/>
                <w:szCs w:val="24"/>
                <w:lang w:val="en-US" w:eastAsia="zh-CN"/>
              </w:rPr>
            </w:pPr>
            <w:r>
              <w:rPr>
                <w:rFonts w:hint="eastAsia" w:hAnsi="宋体"/>
                <w:bCs/>
                <w:sz w:val="24"/>
                <w:szCs w:val="24"/>
                <w:lang w:val="en-US" w:eastAsia="zh-CN"/>
              </w:rPr>
              <w:t>（一）、营养学（Science of Nutrition）</w:t>
            </w:r>
          </w:p>
          <w:p w14:paraId="44D24200">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营养学是研究人体营养规律及其改善措施的科学，具体而言是研究人体对食物中营养素的利用与代谢规律及科学确定人体营养素需要量的科学，</w:t>
            </w:r>
            <w:r>
              <w:rPr>
                <w:rFonts w:hint="default" w:hAnsi="宋体"/>
                <w:bCs/>
                <w:sz w:val="24"/>
                <w:szCs w:val="24"/>
                <w:lang w:val="en-US" w:eastAsia="zh-CN"/>
              </w:rPr>
              <w:t xml:space="preserve">包括基础营养、食物营养、人群营养、公共营养、临床营养等。 </w:t>
            </w:r>
          </w:p>
          <w:p w14:paraId="755AC623">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（二）、营养（Nutrition）</w:t>
            </w:r>
          </w:p>
          <w:p w14:paraId="42EC3D2C">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营养是人体从外界环境摄取食物</w:t>
            </w:r>
            <w:r>
              <w:rPr>
                <w:rFonts w:hint="default" w:hAnsi="宋体"/>
                <w:bCs/>
                <w:sz w:val="24"/>
                <w:szCs w:val="24"/>
                <w:lang w:val="en-US" w:eastAsia="zh-CN"/>
              </w:rPr>
              <w:t>,经过消化、吸收和代谢,利用其有益物质,供给能量,构成和更新身体组织</w:t>
            </w:r>
            <w:r>
              <w:rPr>
                <w:rFonts w:hint="eastAsia" w:hAnsi="宋体"/>
                <w:bCs/>
                <w:sz w:val="24"/>
                <w:szCs w:val="24"/>
                <w:lang w:val="en-US" w:eastAsia="zh-CN"/>
              </w:rPr>
              <w:t>，</w:t>
            </w:r>
            <w:r>
              <w:rPr>
                <w:rFonts w:hint="default" w:hAnsi="宋体"/>
                <w:bCs/>
                <w:sz w:val="24"/>
                <w:szCs w:val="24"/>
                <w:lang w:val="en-US" w:eastAsia="zh-CN"/>
              </w:rPr>
              <w:t>以及调节生理功能的全过程</w:t>
            </w:r>
            <w:r>
              <w:rPr>
                <w:rFonts w:hint="eastAsia" w:hAnsi="宋体"/>
                <w:bCs/>
                <w:sz w:val="24"/>
                <w:szCs w:val="24"/>
                <w:lang w:val="en-US" w:eastAsia="zh-CN"/>
              </w:rPr>
              <w:t>。</w:t>
            </w:r>
          </w:p>
          <w:p w14:paraId="2381F12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（三）、营养素（Nutrient）</w:t>
            </w:r>
          </w:p>
          <w:p w14:paraId="7BF2405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营养素是</w:t>
            </w:r>
            <w:r>
              <w:rPr>
                <w:rFonts w:hint="default" w:hAnsi="宋体"/>
                <w:bCs/>
                <w:sz w:val="24"/>
                <w:szCs w:val="24"/>
                <w:lang w:val="en-US" w:eastAsia="zh-CN"/>
              </w:rPr>
              <w:t>食物中具有特定生理作用,能维持机体生长、发育、活动、生殖以及正常代谢所需的物质。</w:t>
            </w:r>
            <w:r>
              <w:rPr>
                <w:rFonts w:hint="eastAsia" w:hAnsi="宋体"/>
                <w:bCs/>
                <w:sz w:val="24"/>
                <w:szCs w:val="24"/>
                <w:lang w:val="en-US" w:eastAsia="zh-CN"/>
              </w:rPr>
              <w:t>食物中的营养素可分为蛋白质、脂类、碳水化合物、维生素、矿物质、水和膳食纤维等七大类。</w:t>
            </w:r>
          </w:p>
          <w:p w14:paraId="1B341F86">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（四）、食物（Food）</w:t>
            </w:r>
          </w:p>
          <w:p w14:paraId="164AAF83">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食物是指各种供人食用或者饮用的成品和原料，以及按照传统既是食品又是药品的物品，但是不包括以治疗为目的的物品。</w:t>
            </w:r>
          </w:p>
          <w:p w14:paraId="0588AE95">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（五）、饮食（Diet）</w:t>
            </w:r>
          </w:p>
          <w:p w14:paraId="2F812DCE">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饮食，又称膳食，是由多种食物组成的。</w:t>
            </w:r>
          </w:p>
          <w:p w14:paraId="40CDF31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（六）、健康（Health）</w:t>
            </w:r>
          </w:p>
          <w:p w14:paraId="7131BCFA">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“健康乃是一种在身体上、精神上的完满状态，以及良好的适应力，而不仅仅是没有疾病和衰弱的状态。”世界卫生组织提出的健康的十条标准</w:t>
            </w:r>
          </w:p>
          <w:p w14:paraId="01D178C8">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1、精力充沛，能从容不迫地应付日常生活和工作的压力而不感到过分紧张。</w:t>
            </w:r>
          </w:p>
          <w:p w14:paraId="455159E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2、处事乐观，态度积极，乐于承担责任，事无巨细不挑剔。</w:t>
            </w:r>
          </w:p>
          <w:p w14:paraId="25D9FA69">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3、善于休息，睡眠良好。</w:t>
            </w:r>
          </w:p>
          <w:p w14:paraId="248A2FE2">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4、应变能力强，能适应环境的各种变化。</w:t>
            </w:r>
          </w:p>
          <w:p w14:paraId="1B8F16FF">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5、能够抵抗一般性感冒和传染病。</w:t>
            </w:r>
          </w:p>
          <w:p w14:paraId="04F09A76">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6、体重得当，身材均匀，站立时头、肩、臂位置协调。</w:t>
            </w:r>
          </w:p>
          <w:p w14:paraId="4D6A27F6">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7、眼睛明亮，反应敏锐，眼睑不发炎。</w:t>
            </w:r>
          </w:p>
          <w:p w14:paraId="76A9ACE1">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8、牙齿清洁，无空洞，无痛感；齿龈颜色正常，不出血。</w:t>
            </w:r>
          </w:p>
          <w:p w14:paraId="3205FBEA">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9、头发有光泽，无头屑。</w:t>
            </w:r>
          </w:p>
          <w:p w14:paraId="59B213E9">
            <w:pPr>
              <w:keepNext w:val="0"/>
              <w:keepLines w:val="0"/>
              <w:suppressLineNumbers w:val="0"/>
              <w:spacing w:before="0" w:beforeAutospacing="0" w:after="0" w:afterAutospacing="0" w:line="360" w:lineRule="auto"/>
              <w:ind w:left="0" w:right="0" w:firstLine="480" w:firstLineChars="200"/>
              <w:rPr>
                <w:rFonts w:hint="default" w:ascii="Times New Roman" w:hAnsi="Times New Roman"/>
                <w:b/>
                <w:sz w:val="24"/>
                <w:szCs w:val="24"/>
              </w:rPr>
            </w:pPr>
            <w:r>
              <w:rPr>
                <w:rFonts w:hint="eastAsia" w:hAnsi="宋体"/>
                <w:bCs/>
                <w:sz w:val="24"/>
                <w:szCs w:val="24"/>
                <w:lang w:val="en-US" w:eastAsia="zh-CN"/>
              </w:rPr>
              <w:t>10、肌肉、皮肤富有弹性，走路轻松有力。</w:t>
            </w:r>
          </w:p>
        </w:tc>
        <w:tc>
          <w:tcPr>
            <w:tcW w:w="1696" w:type="dxa"/>
            <w:tcBorders>
              <w:tl2br w:val="nil"/>
              <w:tr2bl w:val="nil"/>
            </w:tcBorders>
            <w:vAlign w:val="center"/>
          </w:tcPr>
          <w:p w14:paraId="2B47804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课前通过超星学习通发布问卷</w:t>
            </w:r>
            <w:r>
              <w:rPr>
                <w:rFonts w:hint="eastAsia" w:ascii="Times New Roman" w:hAnsi="Times New Roman"/>
                <w:b/>
                <w:sz w:val="24"/>
                <w:szCs w:val="24"/>
              </w:rPr>
              <w:t>，</w:t>
            </w:r>
            <w:r>
              <w:rPr>
                <w:rFonts w:hint="eastAsia" w:ascii="Times New Roman" w:hAnsi="Times New Roman"/>
                <w:b/>
                <w:sz w:val="24"/>
                <w:szCs w:val="24"/>
                <w:lang w:val="en-US" w:eastAsia="zh-CN"/>
              </w:rPr>
              <w:t>了解</w:t>
            </w:r>
            <w:r>
              <w:rPr>
                <w:rFonts w:hint="eastAsia" w:ascii="Times New Roman" w:hAnsi="Times New Roman"/>
                <w:b/>
                <w:sz w:val="24"/>
                <w:szCs w:val="24"/>
                <w:lang w:eastAsia="zh-CN"/>
              </w:rPr>
              <w:t>学生</w:t>
            </w:r>
            <w:r>
              <w:rPr>
                <w:rFonts w:hint="eastAsia" w:ascii="Times New Roman" w:hAnsi="Times New Roman"/>
                <w:b/>
                <w:sz w:val="24"/>
                <w:szCs w:val="24"/>
                <w:lang w:val="en-US" w:eastAsia="zh-CN"/>
              </w:rPr>
              <w:t>对知识掌握情况及预学习情况</w:t>
            </w:r>
            <w:r>
              <w:rPr>
                <w:rFonts w:hint="eastAsia" w:ascii="Times New Roman" w:hAnsi="Times New Roman"/>
                <w:b/>
                <w:sz w:val="24"/>
                <w:szCs w:val="24"/>
                <w:lang w:eastAsia="zh-CN"/>
              </w:rPr>
              <w:t>，</w:t>
            </w:r>
            <w:r>
              <w:rPr>
                <w:rFonts w:hint="eastAsia" w:ascii="Times New Roman" w:hAnsi="Times New Roman"/>
                <w:b/>
                <w:sz w:val="24"/>
                <w:szCs w:val="24"/>
              </w:rPr>
              <w:t>激发学生的学习</w:t>
            </w:r>
            <w:r>
              <w:rPr>
                <w:rFonts w:hint="eastAsia" w:ascii="Times New Roman" w:hAnsi="Times New Roman"/>
                <w:b/>
                <w:sz w:val="24"/>
                <w:szCs w:val="24"/>
                <w:lang w:val="en-US" w:eastAsia="zh-CN"/>
              </w:rPr>
              <w:t>兴趣</w:t>
            </w:r>
            <w:r>
              <w:rPr>
                <w:rFonts w:hint="eastAsia" w:ascii="Times New Roman" w:hAnsi="Times New Roman"/>
                <w:b/>
                <w:sz w:val="24"/>
                <w:szCs w:val="24"/>
              </w:rPr>
              <w:t>。</w:t>
            </w:r>
          </w:p>
        </w:tc>
      </w:tr>
      <w:tr w14:paraId="392EEC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F8BB64B">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1F1AEF0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7E27EDF">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val="en-US" w:eastAsia="zh-CN"/>
              </w:rPr>
              <w:t>请对照健康的标准进行自我评价？</w:t>
            </w:r>
          </w:p>
        </w:tc>
        <w:tc>
          <w:tcPr>
            <w:tcW w:w="1696" w:type="dxa"/>
            <w:tcBorders>
              <w:tl2br w:val="nil"/>
              <w:tr2bl w:val="nil"/>
            </w:tcBorders>
            <w:vAlign w:val="center"/>
          </w:tcPr>
          <w:p w14:paraId="74A4388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28AD4BE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661651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997791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536D5C21">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cs="宋体"/>
                <w:b w:val="0"/>
                <w:bCs/>
                <w:color w:val="C00000"/>
                <w:kern w:val="2"/>
                <w:sz w:val="24"/>
                <w:szCs w:val="24"/>
                <w:lang w:val="en-US" w:eastAsia="zh-CN" w:bidi="ar"/>
              </w:rPr>
              <w:t>绪论</w:t>
            </w:r>
          </w:p>
          <w:p w14:paraId="572079C4">
            <w:pPr>
              <w:keepNext w:val="0"/>
              <w:keepLines w:val="0"/>
              <w:numPr>
                <w:ilvl w:val="0"/>
                <w:numId w:val="0"/>
              </w:numPr>
              <w:suppressLineNumbers w:val="0"/>
              <w:spacing w:before="0" w:beforeAutospacing="0" w:after="0" w:afterAutospacing="0" w:line="360" w:lineRule="auto"/>
              <w:ind w:left="0" w:leftChars="0" w:right="0" w:rightChars="0"/>
              <w:rPr>
                <w:rFonts w:hint="eastAsia" w:hAnsi="宋体"/>
                <w:bCs/>
                <w:sz w:val="24"/>
                <w:szCs w:val="24"/>
                <w:lang w:val="en-US" w:eastAsia="zh-CN"/>
              </w:rPr>
            </w:pPr>
            <w:r>
              <w:rPr>
                <w:rFonts w:hint="eastAsia" w:hAnsi="宋体"/>
                <w:bCs/>
                <w:sz w:val="24"/>
                <w:szCs w:val="24"/>
                <w:lang w:val="en-US" w:eastAsia="zh-CN"/>
              </w:rPr>
              <w:t>二、营养学基本概念</w:t>
            </w:r>
          </w:p>
          <w:p w14:paraId="22333371">
            <w:pPr>
              <w:keepNext w:val="0"/>
              <w:keepLines w:val="0"/>
              <w:numPr>
                <w:ilvl w:val="0"/>
                <w:numId w:val="0"/>
              </w:numPr>
              <w:suppressLineNumbers w:val="0"/>
              <w:spacing w:before="0" w:beforeAutospacing="0" w:after="0" w:afterAutospacing="0" w:line="360" w:lineRule="auto"/>
              <w:ind w:left="0" w:leftChars="0" w:right="0" w:rightChars="0" w:firstLine="480" w:firstLineChars="200"/>
              <w:rPr>
                <w:rFonts w:hint="eastAsia" w:hAnsi="宋体"/>
                <w:bCs/>
                <w:sz w:val="24"/>
                <w:szCs w:val="24"/>
                <w:lang w:val="en-US" w:eastAsia="zh-CN"/>
              </w:rPr>
            </w:pPr>
            <w:r>
              <w:rPr>
                <w:rFonts w:hint="eastAsia" w:hAnsi="宋体"/>
                <w:bCs/>
                <w:sz w:val="24"/>
                <w:szCs w:val="24"/>
                <w:lang w:val="en-US" w:eastAsia="zh-CN"/>
              </w:rPr>
              <w:t>（一）、营养学（Science of Nutrition）</w:t>
            </w:r>
          </w:p>
          <w:p w14:paraId="5CFB6633">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（二）、营养（Nutrition）</w:t>
            </w:r>
          </w:p>
          <w:p w14:paraId="57BAB2CE">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（三）、营养素（Nutrient）</w:t>
            </w:r>
          </w:p>
          <w:p w14:paraId="7095D783">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（四）、食物（Food）</w:t>
            </w:r>
          </w:p>
          <w:p w14:paraId="5A3ACD9B">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（五）、饮食（Diet）</w:t>
            </w:r>
          </w:p>
          <w:p w14:paraId="1E8E572B">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（六）、健康（Health）</w:t>
            </w:r>
          </w:p>
          <w:p w14:paraId="09F04DB9">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（七）、营养性疾病（Nutritional diseases）</w:t>
            </w:r>
          </w:p>
          <w:p w14:paraId="7DD67D9F">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指因体内各种营养素过多或过少，或营养素不平衡引起的疾病，也包括那些以营养因素为主要病因、营养疗法为主要治疗手段的疾病。</w:t>
            </w:r>
          </w:p>
          <w:p w14:paraId="52C9B277">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（八）、食源性疾病（Foodborne</w:t>
            </w:r>
            <w:r>
              <w:rPr>
                <w:rFonts w:hint="default" w:hAnsi="宋体"/>
                <w:bCs/>
                <w:sz w:val="24"/>
                <w:szCs w:val="24"/>
                <w:lang w:val="en-US" w:eastAsia="zh-CN"/>
              </w:rPr>
              <w:t> disease </w:t>
            </w:r>
            <w:r>
              <w:rPr>
                <w:rFonts w:hint="eastAsia" w:hAnsi="宋体"/>
                <w:bCs/>
                <w:sz w:val="24"/>
                <w:szCs w:val="24"/>
                <w:lang w:val="en-US" w:eastAsia="zh-CN"/>
              </w:rPr>
              <w:t>）</w:t>
            </w:r>
          </w:p>
          <w:p w14:paraId="44CE8875">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食源性疾病是食品中致病因素进入人体引起的感染性、中毒性等疾病，包括食物中毒。</w:t>
            </w:r>
          </w:p>
          <w:p w14:paraId="06E9E0E1">
            <w:pPr>
              <w:keepNext w:val="0"/>
              <w:keepLines w:val="0"/>
              <w:suppressLineNumbers w:val="0"/>
              <w:spacing w:before="0" w:beforeAutospacing="0" w:after="0" w:afterAutospacing="0" w:line="360" w:lineRule="auto"/>
              <w:ind w:left="0" w:right="0" w:firstLine="480" w:firstLineChars="200"/>
              <w:rPr>
                <w:rFonts w:hint="default" w:hAnsi="宋体"/>
                <w:bCs/>
                <w:sz w:val="24"/>
                <w:szCs w:val="24"/>
                <w:lang w:val="en-US" w:eastAsia="zh-CN"/>
              </w:rPr>
            </w:pPr>
            <w:r>
              <w:rPr>
                <w:rFonts w:hint="eastAsia" w:hAnsi="宋体"/>
                <w:bCs/>
                <w:sz w:val="24"/>
                <w:szCs w:val="24"/>
                <w:lang w:val="en-US" w:eastAsia="zh-CN"/>
              </w:rPr>
              <w:t>食源性疾病的常见致病因素有致病性微生物、天然毒素、寄生虫和有毒有害化学物质等，其中最主要的原因之一是致病性微生物。</w:t>
            </w:r>
          </w:p>
          <w:p w14:paraId="74A40A04">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（九）、什么是健康老年人（ healthy older adults）</w:t>
            </w:r>
          </w:p>
          <w:p w14:paraId="4CA9833F">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 xml:space="preserve">健康老年人指60周岁及以上生活自理或基本自理的老年人，躯体、心理、社会三方面都趋于相互协调与和谐状态。中国健康老年人应满足下述要求： </w:t>
            </w:r>
          </w:p>
          <w:p w14:paraId="5DF1E8D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 xml:space="preserve">（1）生活自理或基本自理； </w:t>
            </w:r>
          </w:p>
          <w:p w14:paraId="3352D71C">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 xml:space="preserve">（2）重要脏器的增龄性改变未导致明显的功能异常； </w:t>
            </w:r>
          </w:p>
          <w:p w14:paraId="67337926">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 xml:space="preserve">（3）影响健康的危险因素控制在与其年龄相适应的范围内； </w:t>
            </w:r>
          </w:p>
          <w:p w14:paraId="419BDCE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 xml:space="preserve">（4）营养状况良好； </w:t>
            </w:r>
          </w:p>
          <w:p w14:paraId="0FDBC893">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 xml:space="preserve">（5）认知功能基本正常； </w:t>
            </w:r>
          </w:p>
          <w:p w14:paraId="37E701B6">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 xml:space="preserve">（6）乐观积极，自我满意； </w:t>
            </w:r>
          </w:p>
          <w:p w14:paraId="2890DED2">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 xml:space="preserve">（7）具有一定的健康素养，保持良好生活方式； </w:t>
            </w:r>
          </w:p>
          <w:p w14:paraId="0046342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（8）积极参与家庭和社会活动；</w:t>
            </w:r>
          </w:p>
          <w:p w14:paraId="6F72EEEB">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 xml:space="preserve">（9）社会适应能力良好。 </w:t>
            </w:r>
          </w:p>
          <w:p w14:paraId="6777604A">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评估老年人健康状况是一个较为复杂的系统工作，需要对照《中国健康老年人评估表》逐项评估，具体实施按“实训项目一”操作步骤进行。</w:t>
            </w:r>
          </w:p>
          <w:p w14:paraId="2B31B6DC">
            <w:pPr>
              <w:keepNext w:val="0"/>
              <w:keepLines w:val="0"/>
              <w:suppressLineNumbers w:val="0"/>
              <w:spacing w:before="0" w:beforeAutospacing="0" w:after="0" w:afterAutospacing="0" w:line="360" w:lineRule="auto"/>
              <w:ind w:left="0" w:right="0"/>
              <w:rPr>
                <w:rFonts w:hint="eastAsia" w:hAnsi="宋体"/>
                <w:bCs/>
                <w:sz w:val="24"/>
                <w:szCs w:val="24"/>
                <w:lang w:val="en-US" w:eastAsia="zh-CN"/>
              </w:rPr>
            </w:pPr>
            <w:r>
              <w:rPr>
                <w:rFonts w:hint="eastAsia" w:hAnsi="宋体"/>
                <w:bCs/>
                <w:sz w:val="24"/>
                <w:szCs w:val="24"/>
                <w:lang w:val="en-US" w:eastAsia="zh-CN"/>
              </w:rPr>
              <w:t>三、食物消化和吸收</w:t>
            </w:r>
          </w:p>
          <w:p w14:paraId="10EC75F0">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（一）、消化（digestion）</w:t>
            </w:r>
          </w:p>
          <w:p w14:paraId="5D125DA7">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消化（digestion）是机体通过消化</w:t>
            </w:r>
            <w:r>
              <w:rPr>
                <w:rFonts w:hint="eastAsia" w:hAnsi="宋体"/>
                <w:bCs/>
                <w:sz w:val="24"/>
                <w:szCs w:val="24"/>
                <w:lang w:val="en-US" w:eastAsia="zh-CN"/>
              </w:rPr>
              <w:fldChar w:fldCharType="begin"/>
            </w:r>
            <w:r>
              <w:rPr>
                <w:rFonts w:hint="eastAsia" w:hAnsi="宋体"/>
                <w:bCs/>
                <w:sz w:val="24"/>
                <w:szCs w:val="24"/>
                <w:lang w:val="en-US" w:eastAsia="zh-CN"/>
              </w:rPr>
              <w:instrText xml:space="preserve"> HYPERLINK "http://baike.baidu.com/view/763128.htm" \t "_blank" </w:instrText>
            </w:r>
            <w:r>
              <w:rPr>
                <w:rFonts w:hint="eastAsia" w:hAnsi="宋体"/>
                <w:bCs/>
                <w:sz w:val="24"/>
                <w:szCs w:val="24"/>
                <w:lang w:val="en-US" w:eastAsia="zh-CN"/>
              </w:rPr>
              <w:fldChar w:fldCharType="separate"/>
            </w:r>
            <w:r>
              <w:rPr>
                <w:rFonts w:hint="eastAsia" w:hAnsi="宋体"/>
                <w:bCs/>
                <w:sz w:val="24"/>
                <w:szCs w:val="24"/>
                <w:lang w:val="en-US" w:eastAsia="zh-CN"/>
              </w:rPr>
              <w:t>道</w:t>
            </w:r>
            <w:r>
              <w:rPr>
                <w:rFonts w:hint="eastAsia" w:hAnsi="宋体"/>
                <w:bCs/>
                <w:sz w:val="24"/>
                <w:szCs w:val="24"/>
                <w:lang w:val="en-US" w:eastAsia="zh-CN"/>
              </w:rPr>
              <w:fldChar w:fldCharType="end"/>
            </w:r>
            <w:r>
              <w:rPr>
                <w:rFonts w:hint="eastAsia" w:hAnsi="宋体"/>
                <w:bCs/>
                <w:sz w:val="24"/>
                <w:szCs w:val="24"/>
                <w:lang w:val="en-US" w:eastAsia="zh-CN"/>
              </w:rPr>
              <w:t>的运动和消化腺分泌物的酶解作用，使大块的、分子结构复杂的食物，分解为能被吸收的、分子结构简单的小分子化学物质的过程。食物消化的方式有机械性消化、化学性消化、微生物消化3种。</w:t>
            </w:r>
          </w:p>
          <w:p w14:paraId="5DF14623">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（二）、主要消化液</w:t>
            </w:r>
          </w:p>
          <w:p w14:paraId="1B799B4A">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1、唾液：人唾液中除唾液淀粉酶以外，还含有溶菌酶。唾液主要生理作用有：湿润和溶解食物；清除口腔中的残余食物；冲淡、中和、清除进入腔的有害物质；可使淀粉分解为麦芽糖。</w:t>
            </w:r>
          </w:p>
          <w:p w14:paraId="12CB530A">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2、胃液：胃液主要成分及作用：</w:t>
            </w:r>
          </w:p>
          <w:p w14:paraId="7E75CBF0">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1）盐酸：也称胃酸，由壁细胞分泌。盐酸的生理作用包括激活胃蛋白酶原，并为胃蛋白酶提供适宜的作用环境；使食物蛋白质变性而易于水解；杀死进人胃内的细菌，使胃和小肠维持相对无菌的状态；刺激胰液、胆汁和小肠液的分泌；有助于小肠对钙和铁的吸收。</w:t>
            </w:r>
          </w:p>
          <w:p w14:paraId="19E75520">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（2）胃蛋白酶原：由主细胞分泌。进入胃液后，在盐酸的作用下，被激活为胃蛋白酶，后者在酸性条件下可将蛋白质水解为肽和氨基酸。</w:t>
            </w:r>
          </w:p>
          <w:p w14:paraId="5297A8BE">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3）粘液：由胃黏膜上皮细胞、粘液细胞、贲门腺和幽门腺分泌，化学成分为粘蛋白。生理功能是保护胃黏膜，润滑食物，防止食团中粗糙成分的机械性损伤；并与表面上皮细胞分泌的HC03-共同构成粘液，防止盐酸和胃蛋白对胃黏膜细胞损伤。</w:t>
            </w:r>
          </w:p>
          <w:p w14:paraId="3E4D1590">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（4）内因子：由胃内的壁细胞分泌，可与维生素B。结合，防止消化液对维生素B的破坏，并促进其在回肠内吸收。</w:t>
            </w:r>
          </w:p>
          <w:p w14:paraId="5045225B">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3、胰液：胰液含有大量水分、无机物主要为碳酸氢盐和各种离子及多种消化酶；胰酶消化力最强，特别是对蛋白质、脂肪的消化，具有很强的消化能力，是消化大分子营养素的最主要酶类。胰液的主要化学成分有：</w:t>
            </w:r>
          </w:p>
          <w:p w14:paraId="31823FAC">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（1）HC03-：HC03-的作用主要是中和进入十二指肠内胃酸，防止其对黏膜的损伤；还可以为胃内各种消化过程提供适宜的pH环境。</w:t>
            </w:r>
          </w:p>
          <w:p w14:paraId="5214AD6B">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2）蛋白质消化酶：包括胰蛋白酶原、糜蛋白酶等。进入小肠后，胰蛋白酶原被肠致活酶激活转变为胰蛋白酶。后者继续激活糜蛋白酶，并且也能使蛋白酶原活化。胰蛋白酶和糜蛋白酶分别能水解蛋白质成为多肽，当其同时消化蛋白质时，产物为短肽和游离氨基酸。</w:t>
            </w:r>
          </w:p>
          <w:p w14:paraId="73AC63E6">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（3）胰淀粉酶：可将食物中的淀粉水解为麦芽糖，后者经麦芽糖酶消化进一步成为葡萄糖。</w:t>
            </w:r>
          </w:p>
          <w:p w14:paraId="3E3197A1">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（4）胰脂酶：胰脂肪酶、胆固醇酶和磷脂酶统称为胰脂酶，可分别水解甘油三酯、胆固醇酯和磷脂。</w:t>
            </w:r>
          </w:p>
          <w:p w14:paraId="158B45CB">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（5）核酸酶：包括DNA酶和RNA酶，分别水解DNA和RNA。</w:t>
            </w:r>
          </w:p>
          <w:p w14:paraId="3C887B21">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4、胆汁：胆汁由肝分泌，贮存于胆囊，其主要作用是乳化脂肪，便于胰腺和小肠内分泌的脂肪酶分解。进食肉类或含脂肪的食物可促进胆汁的排放。</w:t>
            </w:r>
          </w:p>
          <w:p w14:paraId="579214F2">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（3）、营养素吸收</w:t>
            </w:r>
          </w:p>
          <w:p w14:paraId="42B8C14A">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1、吸收（absorption）</w:t>
            </w:r>
          </w:p>
          <w:p w14:paraId="2D77B09F">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经过消化的食物中的营养成分通过消化道粘膜进入血液的过程。</w:t>
            </w:r>
          </w:p>
          <w:p w14:paraId="5CBDA0CF">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2、营养素吸收部位</w:t>
            </w:r>
          </w:p>
          <w:p w14:paraId="20FE5DC8">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口腔、咽和食管基本无吸收功能，胃仅能吸收少量的水、酒精及某些药物，小肠是主要的吸收部位，大肠仅可吸收少许水和盐类。在胃内生热营养素由快至慢的排空速度，依次是碳水化合物、蛋白质和脂肪。</w:t>
            </w:r>
          </w:p>
          <w:p w14:paraId="6FCBF9A8">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3、产能营养素吸收</w:t>
            </w:r>
          </w:p>
          <w:p w14:paraId="1034CACE">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碳水化合物：食物中的碳水化合物，主要为多糖如淀粉，必须被水解成单糖，如葡萄糖后才能被吸收。</w:t>
            </w:r>
          </w:p>
          <w:p w14:paraId="32B25E44">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蛋白质：必须被消化成氨基酸后才能被小肠黏膜吸收，吸收过程也是与钠离子相偶联的主动过程，然后经血液循环至肝和身体各部。　</w:t>
            </w:r>
          </w:p>
          <w:p w14:paraId="2B30C743">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脂肪：脂肪分解成脂肪酸、甘油一酯及少量的甘油后，在胆盐帮助下运至小肠黏膜上皮细胞内。中链、短链脂肪酸及其组成的甘油一酯可直接扩散至组织液中，经血液而被吸收；而长链脂肪酸在细胞内重新与甘油合成甘油三酯，后者与载脂蛋白形成乳糜微粒，然后被释放进入组织间液，再进人淋巴循环而被吸收。因此，脂肪可经血液和淋巴2种途径吸收，以淋巴为主。</w:t>
            </w:r>
          </w:p>
          <w:p w14:paraId="78A27FC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（四）、与食物消化吸收相关的系统</w:t>
            </w:r>
          </w:p>
          <w:p w14:paraId="69635B9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1、循环系统</w:t>
            </w:r>
          </w:p>
          <w:p w14:paraId="75E707F4">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循环系统与食物的消化吸收关系密切，主要体现在：(1)、营养物质消化后吸收入血液，通过血液运送到机体各器官、组织并完成与组织间的物质交换；(2)、机体各器官、组织代谢的产物经血液运送到肾脏、肺等器官排出体外，使人体内物质代谢得以延续。</w:t>
            </w:r>
          </w:p>
          <w:p w14:paraId="36E7AEC3">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2、呼吸系统</w:t>
            </w:r>
          </w:p>
          <w:p w14:paraId="5232D233">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呼吸系统与食物的消化吸收关系密切，因为食物中营养物质尤其是三大产热营养物质被人体吸收后只有在氧的参与下才能彻底地氧化分解后才能转化可被人体直接利用的物质并提供足够的能量。</w:t>
            </w:r>
          </w:p>
          <w:p w14:paraId="0BE003F5">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当呼吸系统的功能出现障碍时，会给人体造成一系列的不适。以下是呼吸系统功能障碍时常见的一些症状。</w:t>
            </w:r>
          </w:p>
          <w:p w14:paraId="2E684147">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（1）发绀：发绀是指血中还原血红蛋白增多，大于50/1时，可致皮肤、黏膜呈青紫颜色的现象。</w:t>
            </w:r>
          </w:p>
          <w:p w14:paraId="7CF603CC">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（2）吸气性呼吸困难：吸气性呼吸困难指吸气时胸骨上窝、锁骨上窝和肋间隙明显凹陷，也称为“三凹症”，常伴有干咳及高调吸气性喉鸣。</w:t>
            </w:r>
          </w:p>
          <w:p w14:paraId="232DE64E">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（3）呼气性呼吸困难：呼气性呼吸困难呼气感到困难，呼气时间延长而缓慢，常伴有哮鸣音。</w:t>
            </w:r>
          </w:p>
          <w:p w14:paraId="7524AF47">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（4）混合性呼吸困难：混合性呼吸困难呼气与吸气均费力，呼吸频率增快、深度变浅，常伴有呼吸音异常。</w:t>
            </w:r>
          </w:p>
          <w:p w14:paraId="30638C51">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3、泌尿系统</w:t>
            </w:r>
          </w:p>
          <w:p w14:paraId="4F4E6694">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肾脏是人体重要的排泄器官，蛋白质代谢特有的产物——尿素的主要排泄途径就是肾脏。</w:t>
            </w:r>
          </w:p>
          <w:p w14:paraId="200B305A">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4、神经、内分泌系统</w:t>
            </w:r>
          </w:p>
          <w:p w14:paraId="5EE60787">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人体是一个复杂多层次的系统，各部分的结构和功能相互联系相互制约，其中神经、内分泌系统发挥了调节和控制的作用。神经系统是人体调节控制的主导系统，人体内食物的消化吸收和营养物质的新陈代谢过程受到了神经系统直接或间接的控制。内分泌系统是人体除神经系统外另一重要的调节系统，它由分布于身体各个不同部位的内分泌腺和内分泌组织构成，对食物的消化吸收和营养物质的新陈代谢、生长繁殖活动进行直接的调节和控制。</w:t>
            </w:r>
          </w:p>
          <w:p w14:paraId="09200FCD">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5、淋巴系统</w:t>
            </w:r>
          </w:p>
          <w:p w14:paraId="31B4F5C9">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val="en-US" w:eastAsia="zh-CN"/>
              </w:rPr>
            </w:pPr>
            <w:r>
              <w:rPr>
                <w:rFonts w:hint="eastAsia" w:hAnsi="宋体"/>
                <w:bCs/>
                <w:sz w:val="24"/>
                <w:szCs w:val="24"/>
                <w:lang w:val="en-US" w:eastAsia="zh-CN"/>
              </w:rPr>
              <w:t>淋巴系统与食物的消化吸收也有密切的关系，是食物消化产物进入人体的补充途径，有转运脂肪和其他大分子物质的功能。淋巴系统由中枢淋巴系统和周围淋巴系统组成，前者包括骨髓、胸腺及胸导管等器官；后者包括脾、淋巴结、扁桃体及体内其他分散的淋巴组织。</w:t>
            </w:r>
          </w:p>
          <w:p w14:paraId="73C2E3D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7864B12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营养学基本理论知</w:t>
            </w:r>
            <w:r>
              <w:rPr>
                <w:rFonts w:hint="eastAsia" w:ascii="Times New Roman" w:hAnsi="Times New Roman"/>
                <w:b/>
                <w:sz w:val="24"/>
                <w:szCs w:val="24"/>
              </w:rPr>
              <w:t>识。</w:t>
            </w:r>
          </w:p>
        </w:tc>
      </w:tr>
      <w:tr w14:paraId="7DC5B49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074CA3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1A1C2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1E1F02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337692B">
            <w:pPr>
              <w:keepNext w:val="0"/>
              <w:keepLines w:val="0"/>
              <w:suppressLineNumbers w:val="0"/>
              <w:spacing w:before="0" w:beforeAutospacing="0" w:after="0" w:afterAutospacing="0" w:line="360" w:lineRule="auto"/>
              <w:ind w:left="239" w:leftChars="114" w:right="0" w:firstLine="472" w:firstLineChars="196"/>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w:t>
            </w:r>
            <w:r>
              <w:rPr>
                <w:rFonts w:hint="eastAsia" w:ascii="宋体" w:hAnsi="宋体" w:cs="宋体"/>
                <w:b/>
                <w:bCs w:val="0"/>
                <w:kern w:val="2"/>
                <w:sz w:val="24"/>
                <w:szCs w:val="24"/>
                <w:lang w:val="en-US" w:eastAsia="zh-CN" w:bidi="ar"/>
              </w:rPr>
              <w:t>次</w:t>
            </w:r>
            <w:r>
              <w:rPr>
                <w:rFonts w:hint="eastAsia" w:ascii="宋体" w:hAnsi="宋体" w:eastAsia="宋体" w:cs="宋体"/>
                <w:b/>
                <w:bCs w:val="0"/>
                <w:kern w:val="2"/>
                <w:sz w:val="24"/>
                <w:szCs w:val="24"/>
                <w:lang w:val="en-US" w:eastAsia="zh-CN" w:bidi="ar"/>
              </w:rPr>
              <w:t>课我们一起学习</w:t>
            </w:r>
            <w:r>
              <w:rPr>
                <w:rFonts w:hint="eastAsia" w:ascii="宋体" w:hAnsi="宋体" w:cs="宋体"/>
                <w:b/>
                <w:bCs w:val="0"/>
                <w:kern w:val="2"/>
                <w:sz w:val="24"/>
                <w:szCs w:val="24"/>
                <w:lang w:val="en-US" w:eastAsia="zh-CN" w:bidi="ar"/>
              </w:rPr>
              <w:t>了营养学的基本概，了解了营养学的发展史，还学会了健康、老年人生活活动能力的评价方法。</w:t>
            </w:r>
          </w:p>
        </w:tc>
        <w:tc>
          <w:tcPr>
            <w:tcW w:w="1696" w:type="dxa"/>
            <w:tcBorders>
              <w:tl2br w:val="nil"/>
              <w:tr2bl w:val="nil"/>
            </w:tcBorders>
            <w:vAlign w:val="center"/>
          </w:tcPr>
          <w:p w14:paraId="1B253B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0C22C7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5C4123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54149AF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80A5C0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怎样评价老年人的生活活动能力？</w:t>
            </w:r>
          </w:p>
        </w:tc>
        <w:tc>
          <w:tcPr>
            <w:tcW w:w="1696" w:type="dxa"/>
            <w:tcBorders>
              <w:tl2br w:val="nil"/>
              <w:tr2bl w:val="nil"/>
            </w:tcBorders>
            <w:vAlign w:val="center"/>
          </w:tcPr>
          <w:p w14:paraId="1E3B54E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77B8ADF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E5B672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023B54B0">
            <w:pPr>
              <w:keepNext w:val="0"/>
              <w:keepLines w:val="0"/>
              <w:suppressLineNumbers w:val="0"/>
              <w:spacing w:before="0" w:beforeAutospacing="0" w:after="0" w:afterAutospacing="0" w:line="360" w:lineRule="auto"/>
              <w:ind w:left="0" w:right="0" w:firstLine="480" w:firstLineChars="200"/>
              <w:rPr>
                <w:rFonts w:hint="default" w:ascii="Times New Roman" w:hAnsi="Times New Roman"/>
                <w:sz w:val="24"/>
                <w:szCs w:val="24"/>
              </w:rPr>
            </w:pPr>
            <w:r>
              <w:rPr>
                <w:rFonts w:hint="eastAsia" w:ascii="Times New Roman" w:hAnsi="Times New Roman"/>
                <w:sz w:val="24"/>
                <w:szCs w:val="24"/>
                <w:lang w:val="en-US" w:eastAsia="zh-CN"/>
              </w:rPr>
              <w:t>什么是亚健康？请对照亚健康的标准进行自我评价并将结果上传学习通app</w:t>
            </w:r>
            <w:r>
              <w:rPr>
                <w:rFonts w:hint="default" w:ascii="Times New Roman" w:hAnsi="Times New Roman"/>
                <w:sz w:val="24"/>
                <w:szCs w:val="24"/>
              </w:rPr>
              <w:t>。</w:t>
            </w:r>
          </w:p>
        </w:tc>
      </w:tr>
    </w:tbl>
    <w:p w14:paraId="42A2997E"/>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900F2C"/>
    <w:multiLevelType w:val="singleLevel"/>
    <w:tmpl w:val="08900F2C"/>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7517FD7"/>
    <w:rsid w:val="1FB84519"/>
    <w:rsid w:val="20F13C9B"/>
    <w:rsid w:val="21ED3737"/>
    <w:rsid w:val="238347DF"/>
    <w:rsid w:val="24B477DD"/>
    <w:rsid w:val="278141AB"/>
    <w:rsid w:val="28B578A7"/>
    <w:rsid w:val="2FBD002D"/>
    <w:rsid w:val="322A12C5"/>
    <w:rsid w:val="34AD60CD"/>
    <w:rsid w:val="34B67F89"/>
    <w:rsid w:val="368D542E"/>
    <w:rsid w:val="388B134B"/>
    <w:rsid w:val="436C72A2"/>
    <w:rsid w:val="43CD7F64"/>
    <w:rsid w:val="44B33A23"/>
    <w:rsid w:val="45C91BBA"/>
    <w:rsid w:val="469F2CE5"/>
    <w:rsid w:val="47705FF6"/>
    <w:rsid w:val="49F8701E"/>
    <w:rsid w:val="4C7F0E23"/>
    <w:rsid w:val="5A7C6694"/>
    <w:rsid w:val="5C4A1814"/>
    <w:rsid w:val="600E33E1"/>
    <w:rsid w:val="622A303A"/>
    <w:rsid w:val="723010AC"/>
    <w:rsid w:val="75B75A13"/>
    <w:rsid w:val="7C44369A"/>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Pages>
  <Words>4964</Words>
  <Characters>5294</Characters>
  <Lines>1</Lines>
  <Paragraphs>1</Paragraphs>
  <TotalTime>28</TotalTime>
  <ScaleCrop>false</ScaleCrop>
  <LinksUpToDate>false</LinksUpToDate>
  <CharactersWithSpaces>5320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嘟嘟</cp:lastModifiedBy>
  <dcterms:modified xsi:type="dcterms:W3CDTF">2025-09-01T06:55:54Z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30E5848F283C4E1BA255659BC42DD711_13</vt:lpwstr>
  </property>
  <property fmtid="{D5CDD505-2E9C-101B-9397-08002B2CF9AE}" pid="4" name="KSOTemplateDocerSaveRecord">
    <vt:lpwstr>eyJoZGlkIjoiNTRhMzg2OWJjMjI3MTg1NjMwMzY2YzM2YjFhZmRkZDkiLCJ1c2VySWQiOiI2NzMyNTM1ODMifQ==</vt:lpwstr>
  </property>
</Properties>
</file>