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ascii="Times New Roman" w:hAnsi="Times New Roman"/>
          <w:b/>
          <w:bCs/>
          <w:sz w:val="28"/>
          <w:szCs w:val="28"/>
        </w:rPr>
      </w:pPr>
      <w:r>
        <w:rPr>
          <w:rFonts w:hint="eastAsia" w:ascii="Times New Roman" w:hAnsi="Times New Roman"/>
          <w:b/>
          <w:bCs/>
          <w:sz w:val="28"/>
          <w:szCs w:val="28"/>
        </w:rPr>
        <w:t>第</w:t>
      </w:r>
      <w:r>
        <w:rPr>
          <w:rFonts w:hint="eastAsia" w:ascii="Times New Roman" w:hAnsi="Times New Roman"/>
          <w:b/>
          <w:bCs/>
          <w:sz w:val="28"/>
          <w:szCs w:val="28"/>
          <w:lang w:val="en-US" w:eastAsia="zh-CN"/>
        </w:rPr>
        <w:t>9</w:t>
      </w:r>
      <w:r>
        <w:rPr>
          <w:rFonts w:hint="eastAsia" w:ascii="Times New Roman" w:hAnsi="Times New Roman"/>
          <w:b/>
          <w:bCs/>
          <w:sz w:val="28"/>
          <w:szCs w:val="28"/>
        </w:rPr>
        <w:t>课  数字未来的畅想——新媒体艺术鉴赏</w:t>
      </w:r>
    </w:p>
    <w:tbl>
      <w:tblPr>
        <w:tblStyle w:val="9"/>
        <w:tblW w:w="8449"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76"/>
        <w:gridCol w:w="5807"/>
        <w:gridCol w:w="1366"/>
      </w:tblGrid>
      <w:tr>
        <w:trPr>
          <w:trHeight w:val="40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数字未来的畅想——新媒体艺术鉴赏</w:t>
            </w:r>
          </w:p>
        </w:tc>
      </w:tr>
      <w:tr>
        <w:trPr>
          <w:trHeight w:val="47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trPr>
          <w:trHeight w:val="1777" w:hRule="atLeast"/>
          <w:jc w:val="center"/>
        </w:trPr>
        <w:tc>
          <w:tcPr>
            <w:tcW w:w="1276" w:type="dxa"/>
            <w:tcBorders>
              <w:top w:val="single" w:color="auto" w:sz="4" w:space="0"/>
              <w:left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了解新媒体艺术的特点和分类。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通过学习与练习掌握新媒体的审美角度和审美体验。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数字未来的畅想——新媒体艺术鉴赏</w:t>
            </w:r>
            <w:r>
              <w:rPr>
                <w:rFonts w:hint="eastAsia" w:ascii="Times New Roman" w:hAnsi="宋体"/>
                <w:bCs/>
                <w:szCs w:val="20"/>
              </w:rPr>
              <w:t>，了解</w:t>
            </w:r>
            <w:r>
              <w:rPr>
                <w:rFonts w:hint="eastAsia" w:ascii="Times New Roman" w:hAnsi="宋体"/>
                <w:bCs/>
                <w:szCs w:val="20"/>
                <w:lang w:eastAsia="zh-CN"/>
              </w:rPr>
              <w:t>现代文的分类</w:t>
            </w:r>
            <w:r>
              <w:rPr>
                <w:rFonts w:hint="eastAsia" w:ascii="Times New Roman" w:hAnsi="宋体"/>
                <w:bCs/>
                <w:szCs w:val="20"/>
              </w:rPr>
              <w:t>，培养学生对</w:t>
            </w:r>
            <w:r>
              <w:rPr>
                <w:rFonts w:hint="eastAsia" w:ascii="Times New Roman" w:hAnsi="宋体"/>
                <w:bCs/>
                <w:szCs w:val="20"/>
                <w:lang w:eastAsia="zh-CN"/>
              </w:rPr>
              <w:t>现代文读和写的兴趣和能力</w:t>
            </w:r>
            <w:r>
              <w:rPr>
                <w:rFonts w:hint="eastAsia" w:ascii="Times New Roman" w:hAnsi="宋体"/>
                <w:bCs/>
                <w:szCs w:val="20"/>
              </w:rPr>
              <w:t>。</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新媒体艺术综述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新媒体艺术的鉴赏</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rPr>
          <w:trHeight w:val="57"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rPr>
          <w:trHeight w:val="14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rPr>
          <w:trHeight w:val="699"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展示新媒体艺术综述和新媒体艺术的鉴赏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新媒体艺术综述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鉴赏认知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作品感知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新媒体是指利用互联网、数字化技术和计算机技术等信息技术手段，创造、传播和共享各种形式的数字化信息和内容的媒介形式。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新媒体艺术兴起于 20 世纪 60 年代的欧美，艺术家开始使用便携式摄像机拍摄艺术作品，当时使用的是模拟信号的摄像机和录像带，也被称为录像艺术。录像艺术是新媒体艺术形成的真正标志。20 世纪 70 年代初，欧美的许多大众电视台纷纷设立实验电视节目，尝试接纳这些实验性的艺术作品，如波士顿 WGBH 电视台、旧金山 OQED 电视台、美国全国实验电视中心（NCET）等。这一变化刺激了新技术的创造性运用，促成了许多耳目一新的电子视觉语言成熟。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新媒体技术的特点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数字化——用数字化技术对信息进行数字化处理和存储，从而实现信息的快速传播和分享。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交互性——用户可以通过新媒体平台进行即时交流和互动，促进信息的双向传播和共享。</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实时性——用户可以随时随地获取和分享最新的信息和内容。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多媒体——包括文本、图像、音频、视频等多种形式的媒体内容，更丰富生动地展现信息和内容。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新媒体的分类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（1）根据媒介形式分类。包括文字、图像、音频、视频等多种形式，如博客、微博、电子书、网页、短视频等。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（2）根据应用领域分类。包括新闻媒体、社交媒体、电子商务、在线教育、数字出版等。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（3）根据交互方式分类。包括单向传播和双向传播两种形式，如电视、广播属于单向传播，而社交媒体和在线游戏属于双向传播。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（4）根据数字技术应用分类。新媒体的应用方式主要是基于大数据分析的应用和基于人工智能的应用等。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（5）根据设备终端分类。电脑、手机、平板电脑等都是终端。随着数字技术的不断创新和应用，新媒体的分类方式还在不断扩展和更新。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鉴赏新媒体的角度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（1）视频。短视频平台，鉴赏者可以从舞蹈编排、音乐配合、舞者表现等角度鉴赏。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（2）图像。美图软件上的美妆和拍照效果，鉴赏者可以从图像的色彩、对比度、饱和度、效果等方面鉴赏。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（3）文字。微信公众号上的精美文章，鉴赏者可以从标题、文本结构、语言表达、内容深度等角度鉴赏。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（4）社交。微博上的名人、博主的互动，鉴赏者可以从名人博主的个性特点、互动方式、内容质量等方面鉴赏。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（5）音频。音乐平台，鉴赏者可以从音乐的旋律、和声、节奏、歌词等方面鉴赏。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（6）互动。游戏平台，鉴赏者可以从游戏的设计、玩法、角色塑造等方面鉴赏。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（7）VR/AR。虚拟现实、增强现实技术应用的作品，鉴赏者可以通过虚拟现实眼镜或增强现实眼镜等设备，鉴赏其所呈现出的沉浸式体验。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（8）AI 人工智能。AI 是一种具有高度技术含量的新媒体形式，它可以通过计算机系统模拟人类智能，为用户提供智能化的服务。AI 技术的水平主要表现在算法和模型、机器学习、接口和应用等方面。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（9）5G 通信技术。5G 通信技术的水平主要表现在基础设施建设，包括基站、网络、云计算等方面，能够满足大规模的用户和数据传输需求。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网络架构和优化，提高数据传输速率和稳定性，同时能够应对复杂的通信环境和场景。应用场景和创新是开发各种应用场景和创新，如智能家居、智慧城市、自动驾驶等，能够让用户体验到更多的新型通信服务和应用场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不同的新媒体形式和平台，都需要具备高水平的技术能力和技术人员，才能够满足用户的需求和期望。通过深入了解新媒体的技术水平，用户可以更好地享受新媒体带来的科技感和便捷性，同时也能够更好地评估新媒体的价值和意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鉴赏追问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目前，国内外的新媒体技术是什么水平，未来发展的趋势会怎样？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国外新媒体技术的发展经历了多个阶段，从最初的互联网发展，到智能手机的普及，再到如今的人工智能、虚拟现实等技术的兴起，这些技术的发展不断地推动了新媒体的进步和演变。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（1）移动化。随着智能手机和平板电脑的普及，人们越来越依赖移动设备进行信息获取和交流。新媒体平台也相应地发展出了许多移动应用，如社交媒体、即时通信工具等，为人们提供了更加便捷的社交方式。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（2）视频化。视频在新媒体领域中成了重要的内容形式。许多社交媒体平台和视频分享网站如 YouTube、TikTok 等都是以视频为主要形式的。此外，直播技术的普及也为视频内容的实时分享提供了更加便利的方式。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个性化。新媒体技术的发展让用户拥有了更加丰富和多样的内容选择，人们对于内容的个性化需求也越来越高。为了满足用户需求，新媒体平台会根据用户的兴趣、喜好等信息推荐个性化的内容，以提高用户的满意度和黏性。人工智能技术在新媒体领域中的应用越来越广泛，如语音识别、自然语言处理、图像识别等，这些技术的应用可以让新媒体平台更好地了解用户需求，虚拟现实技术已经成为新媒体技术发展的重要方向之一，包括虚拟现实游戏、虚拟现实演出、虚拟现实培训等。虚拟现实技术的应用可以让用户获得更加沉浸式的体验，提升互动的感受和用户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中国新媒体技术的起源可以追溯到 20 世纪 80 年代末和 90 年代初。1994 年建立了中国互联网络信息中心（CNNIC），该中心负责管理和监督中国互联网的发展。在 20 世纪 90 年代后期和 21 世纪初，中国的新媒体技术开始迅速发展。一些中国企业开始开发和推广各种新型互联网应用，如搜索引擎、电子邮件、即时通信和社交网络等，移动互联网的兴起也推动了中国新媒体技术的发展。随着智能手机的普及，中国的移动互联网用户数量迅速增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我国新媒体的发展经历了以下三个阶段。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（1）从模仿到原创阶段。起步的新媒体艺术的这种模仿包括两个层面：对于传统艺术的模仿和对于国外优秀的新媒体艺术的模仿。但模仿是为了创新，主要是表现方式和表现内容的创新。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（2）属于初级阶段。从模仿到原创的过程也表现在从局部出新到整个创意发展变化。局部创新在这里是很重要的，它逐渐改变着艺术的面貌，但遗憾的是它还不能使艺术发展成为更为深刻的质变。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（3）从单一的媒体上升到新媒体的整合阶段。随着 IT 技术和互联网技术的发展，新媒体艺术的创作平台将被提升和整合，对新媒体艺术的创作提供更多的艺术支持，从单一媒体到多媒体的进化提供了可能，其本身也是多媒体艺术本身成热度的标志，因而具有以下趋势特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①视频内容越来越重要：随着短视频和直播应用的快速普及，视频成为新媒体平台上的主要内容形式。例如，抖音、快手、YouTube、Twitch 等社交平台，以其独特的视频内容和个性化推荐功能，吸引了大量的用户。</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②人工智能技术广泛应用：如腾讯、阿里巴巴等公司利用人工智能技术进行内容推荐和智能客服，提高了用户的体验和满意度。同时，人工智能技术还可以帮助新媒体平台进行内容审核和虚假信息识别等工作，维护了网络环境的良好和稳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③社交与电商的融合：社交和电商的融合也是新媒体未来发展的重要趋势之一。例如，微信、淘宝等平台都推出了社交电商功能，用户可以在社交平台上分享商品和购买商品，使得购物体验更加便捷和个性化。另外，一些新媒体平台还推出了社交电影、社交游戏等新型应用，实现了社交与娱乐的融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④区块链技术广泛应用：区块链技术可以为新媒体平台提供更加安全、透明和公正的服务。例如，Steemit等去中心化的新媒体平台，采用区块链技术进行内容发布和审核，用户可以自主发布、审核和获得收益。区块链技术还可以应用于版权保护和数字资产管理等领域，保障用户的知识产权和财产安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⑤科技与艺术相结合：科技与艺术的结合也是新媒体未来发展的趋势之一。例如，数字艺术、新媒体艺术和游戏设计等领域，将更加注重技术和艺术的融合，创造更加丰富和多元的艺术形式。虚拟现实技术已经广泛应用于游戏、影视、艺术和教育等领域，创造了更加沉浸化和互动性的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⑥大数据与云计算整合应用：新媒体平台将更加注重数据分析和挖掘，通过大数据和云计算技术实现内容的精细化和个性化。例如，通过数据分析和人工智能等技术，新媒体平台可以了解用户的兴趣和需求，为用户推送更加个性化和贴近用户需求的内容。同时，云计算技术可以帮助新媒体平台提高服务器的稳定性和安全性，保障用户的数据安全和隐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⑦信息可视化：信息可视化技术可以帮助用户更加直观地了解和理解信息，提高信息的传播效果和吸引力。数据可视化、虚拟现实和增强现实等技术实现更加生动和直观信息呈现方式。例如，新闻媒体和科普平台利用数据可视化技术呈现复杂的数据和信息，让用户更加直观地理解宏观信息和抽象概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难点解答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新媒体的社会价值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可以为群众提供更加便捷、高效的服务和信息，推动社会管理和公共服务更加智能化、精准化、人性化。新媒体可以通过大数据和人工智能等技术手段，为社会治理和民生服务提供更加科学的支撑。因此，新媒体平台需要具有更高的社会责任感，注重社会效益和公众利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（1）促进信息传播和知识普及。新媒体平台需要准确、客观地传递信息，加强对信息来源和内容的审查，避免误导和不实信息的传播，引导公众树立正确的价值观和世界观。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（2）新媒体平台需要积极推动社会发展和进步。新媒体平台应该关注公众需求，为公众提供有益的信息、知识和服务，促进社会和经济的持续发展。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（3）新媒体平台需要提升公众文化素养和信息素质。新媒体平台应该通过各种形式的内容和活动，提升公众的文化素养和信息素质，帮助公众更好地理解和应对当今复杂多变的社会现实。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（4）新媒体平台需要保护公众权益和隐私。新媒体平台应该遵守相关法律法规，加强对用户隐私的保护，避免泄露和滥用用户信息。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增强公共参与和民主意识。新媒体平台让人们更加直接地参与到公共事务中，通过发表意见、建议或者参与投票等方式，发挥自己的民主权利，增强对政治和社会的参与感和认同感，构建一个更加民主和开放的社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促进商业创新和经济发展。新媒体的出现为企业和商家提供了更加广阔的营销渠道与推广方式，同时也为新兴产业的发展提供了巨大的机遇和市场。这促进了商业的创新和经济的发展，有助于提高整个社会的生产力和竞争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新媒体的文化价值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增强中国文化软实力是中国特色社会主义现代化建设的重要任务，也是践行党的二十大精神的重要举措。新媒体作为文化传播的新载体，可以为中国文化的对外传播提供重要支撑，增强中国在全球文化领域的影响力和竞争力。因此，新媒体的文化价值就显现于下面四个方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传承和弘扬优秀传统文化。新媒体平台为传统文化的传承和弘扬提供了新的机遇和平台。例如，在中国的短视频平台上经常可以看到各种传统戏曲、民族舞蹈和手工艺品等表演和介绍，这有助于让更多年轻人了解和喜爱传统文化。又如，像“中国好声音”“中国诗词大会”等节目，也通过新媒体平台将传统文化元素融入娱乐节目中，吸引了更多年轻人了解和关注传统文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（2）引领流行文化。新媒体平台成为流行文化主要载体之一。许多时尚、音乐和娱乐等流行文化的元素在新媒体上得到了广泛传播，也为文化创意产业发展提供了更广阔的市场。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促进文化交流。新媒体平台可以打破时间和空间的限制，使得文化交流更加便捷。例如，许多文化活动和展览可以在网上直播，让更多人能够参与和了解。又如，短视频平台、直播平台等新媒体形式成为文化内容的新的传播渠道，极大地拓展了文化内容的覆盖面和观众群体。同时，新媒体平台还催生了一批新型文化产业企业，如字节跳动、华人文化等，推动了中国文化产业的转型升级和创新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增强文化自信。新媒体平台也成为国际传播中国文化的重要手段。通过新媒体，中国的文化和价值观可以更加准确地被外界了解和认知，从而增强了中国人民的文化自信。例如，中国的博物馆、图书馆、美术馆等文化机构通过新媒体平台提供了线上展览和文化课程，让更多人可以足不出户地了解和学习文化知识。同时，中国的新媒体文化企业还与国外的文化企业进行交流合作，将中国文化推向世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新媒体的发展价值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发展新媒体，促进文化传播、社会服务、信息安全等方面的创新和发展，是中国特色社会主义现代化建设的必然要求。因而新媒体的发展价值就成了一个复杂的议题，需要从多个方面进行深入分析和思考。除了前述的社会价值和文化价值外，还应该注意以下几点价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（1）更快速、更便利地获取信息。通过网络、移动设备等平台获取各种信息，从新闻、科技、文化到娱乐等方面，更容易地获取所需的信息。这种便利性的提高，促进日常生活和工作效率的提高。</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（2）拓展人们的交流渠道和方式。打破时空限制，可以随时随地进行交流和互动。社交媒体平台和即时通信软件成为人们沟通交流的主要渠道之一，促进人与人之间的联系和交流。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（3）促进了不同文化之间的交流和互鉴。通过网络、社交媒体等平台，人们可以了解和接触各种文化元素，拓宽自己的视野和知识面，加深对不同文化的理解和认知。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支持社会变革和进步。在新媒体平台上，人们可以进行公开讨论和互动，增加人们对政府和企业的监督和反馈渠道，推动社会的进步。不可否认，新媒体的快速发展也会带来了一些问题。其中，信息泛滥、虚假信息、价值扭曲等问题影响着人们对信息的信任和判断力，这需要进一步加强管理和引领。新媒体的价值是多重的，需要综合考虑各方面的利弊得失。在新媒体的发展和应用过程中，需要不断完善和改进新媒体的应用和管理，以使其能够更好地服务于人类社会的发展和进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审美升华</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开展新媒体的审美活动，要抓住以下审美角度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简洁直观的设计风格。随着移动互联网和短视频应用的流行，新媒体的设计风格越来越趋向简洁、直观和易于消化的方向。例如，抖音软件的首页设计简洁，布局清晰，色彩鲜艳，直观地呈现出推荐短视频内容，引起用户的兴趣和关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个性和创意。新媒体平台对于个性和创意的重视程度越来越高。例如，短视频应用中的用户可以通过视频拍摄、剪辑和配乐等手段，表达自己的个性和创意。同时，一些新媒体平台也会根据用户的兴趣和需求，提供个性化和定制化的服务和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多元化和包容性。新媒体平台倡导多元化和包容性的趋势也越来越明显。例如，一些新媒体平台会在内容上涉及不同的文化、性别、种族和价值观等方面，提供多元化的视角和观点。同时，一些新媒体平台也会注重包容性和平等性的原则，为用户提供公正和公平的服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品质和创新。新媒体平台越来越注重品质和创新。例如，优质的短视频内容会被推荐到首页，而虚假信息和低质量的内容则会被过滤或删除。同时，新媒体平台也会倡导创新和实验，尝试新的技术、形式和内容，为用户带来新的体验和视角。</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艺术和审美的融合。新媒体平台也在追求艺术和审美的融合。例如，数字艺术、虚拟现实和增强现实等技术和应用，可以为用户提供更加沉浸和丰富的艺术体验。同时，一些新媒体平台也会推出艺术类、设计类、文学类等专题，介绍和推广艺术和文化领域的优秀作品和创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新媒体平台的发展和变化呈现出多种特点和趋势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（1）新媒体平台通过色彩搭配来提高视觉效果。适当的色彩搭配不仅可以提高视觉效果，还能够传递情感、品牌形象等信息。例如，Facebook 的蓝色、微信的绿色、抖音的红色等都是非常具有辨识度的颜色。新媒体平台通常会根据品牌形象和目标受众的需求，选择合适的色彩搭配，以提高品牌形象和视觉效果。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新媒体平台通过图片和视频的排版来提高用户体验。在新媒体平台的内容制作中，合理的排版可以提高内容的可读性和吸引力。新媒体平台通常会采用图片和视频交错、分布平衡的设计方式，来吸引用户的视线和提高阅读体验。例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Instagram 的照片墙、YouTube 的视频排版等，都能够给用户带来很好的视觉享受。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新媒体平台通过字体设计来提高阅读体验和视觉效果。新媒体平台通常会采用简洁、清晰、易于阅读的字体，来提高用户的阅读体验和视觉效果。例如，微信公众号的默认字体，字体大小、粗细和间距等都非常考究，给用户带来很好的视觉感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新媒体平台通过平面设计和动画设计来提高用户体验。新媒体平台通常会采用独特、有趣、具有视觉冲击力的设计元素，来提高用户的阅读体验和视觉效果。例如，一些新媒体平台会在设计中添加卡通人物、漫画风格、动画效果等元素，来增加内容的趣味性和吸引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新媒体的审美方法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的审美方法是通过各种审美元素的组合和运用，来提高用户的审美体验和吸引力。审美方法不仅仅是单纯的视觉效果，还包括设计的艺术性和创意性等方面。在新媒体的设计和内容制作中，新媒体平台通常会通过以下几个方面来提高用户的审美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（1）色彩搭配。新媒体平台通常会通过精心设计的配色方案，来提高用户对内容兴趣和认知。例如，抖音的红色、微博的蓝色、知乎的绿色等，都具有非常明显的辨识度和吸引力。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（2）图片和视频的排版。新媒体平台通过图片和视频的排版来提高用户的视觉体验和阅读体验。新媒体平台通常会采用合理的排版方式，使得内容能够更加直观易读、吸引人。例如，Instagram 的照片墙、YouTube 的视频排版等，都能够给用户带来很好的视觉享受。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字体设计。新媒体平台通常会采用清晰、易读、符合品牌形象的字体，来提高用户的阅读体验和视觉效果。例如，微信公众号的默认字体，字体大小、粗细和间距等都非常考究，给用户带来很好的视觉感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平面设计和动画设计。新媒体平台通常会采用独特、有趣、具有视觉冲击力的设计元素，来提高用户的阅读体验和视觉效果。例如，一些新媒体平台会在设计中添加卡通人物、漫画风格、动画效果等元素，来增加内容的趣味性和吸引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音频和声音的设计、交互设计、用户界面设计。这些都可以对新媒体的视觉和用户体验产生重要影响。新媒体平台在不断发展和变化的过程中，也将不断探索和尝试新的审美方法，来提高用户体验和视觉吸引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增强现实技术、虚拟现实技术、人工智能技术。这些都有望为新媒体的设计和内容制作带来全新的审美体验和表现方式。未来，新媒体的审美方法将更加多样化、创新化和个性化，为用户带来更加丰富、有趣和具有艺术价值的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新媒体的审美涉及多个方面，在今后的发展中，也将继续注重审美方法的运用和创新，以满足用户的不断变化的需求和期望。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新媒体艺术的鉴赏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鉴赏认知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作品感知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党中央高度重视新媒体和数字化发展，把它们视为推动经济社会发展和现代化建设的重要力量，并将继续推进数字经济、数字化转型和网络安全等方面的工作。在党中央和各级政府的推动下，中国新媒体有了突飞猛进的发展：互联网的普及、移动互联网的兴起、社交媒体的流行、视频媒体的崛起、人工智能技术的应用等。中国的新媒体正在采用这些技术来改进个性化推荐、广告投放，未来仍将继续发展和进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数字敦煌沉浸体验空间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由国家文物局指导，敦煌研究院与腾讯联合打造的“数字藏经洞”，利用数字孪生等技术，将洞窟实体与所藏文物进行了复原。用户可扮演不同角色，“穿越”至晚唐、北宋、清末等时期，与洪辩法师等 8 位历史人物进行互动，感受洞窟不同场景，沉浸式体验敦煌文化。“鹿王本生”场域使用了全新的探索式交互技术，保留与还原敦煌壁画的原始面貌，使人置身于斑驳的历史痕迹中。当你拿起手中的光源照向墙面，便仿佛穿越了时间，故事徐徐展开。艺术与科技的交融的空间，让艺术表现形式更加多维与立体，全新的艺术语言将激起人们对传统文化的多元感知，使人们再次感受到敦煌文化的浑厚底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数字影像创新演绎中国传统宋画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中国美术学院媒体城市研发中心用新兴媒体活化、演绎传统东方艺术瑰宝，用沉浸式的表达让观者拥有畅快淋漓的视觉体验，用中国传统文化深厚的底蕴为观者带来高级的文化享受。《投影·徽宗》——宋代绘画沉浸展，汇集世界多个著名博物馆馆藏真迹制作，将徽宗时代包括《千里江山图》等 8 件绘画神品的高清影像投射在一个沉浸空间之中。900 年前的伟大画家笔下的精灵在原作上依稀可见可感，又在画作细节放大到极致以及动态的投影之中与我们共舞。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数据可视化自然环境及植物</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MANA 平台是全球新媒体艺术行业媒体与资源对接平台，致力于建立艺术、设计与科技协同创新的生态系统。其创作的“数据可视化自然环境及植物”与自然进化有关，以植物为例，截取自然界中的数据生成植物，并以纪念碑式的影像呈现在虚拟引擎中，观众可以体验观看。在这个作品中，作者采集了自然界中北京十年的风向、风力数据，用数据生成植物的根茎生长状态、朝向角度、生长速度、叶片长势、变异速度、衰微状态等，生成出数据植物，并且以纪念柱的形式，呈现在虚拟引擎中。自然环境以数据的形式反馈和影响到生命，并且进行纂辑，形成一座座触目的生命景观纪念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四川卫视舞台装置“轨道境”</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“轨道境”以“未来派考古”为核心的创作理念，以未来视角对于何谓的“考古”概念的再次诠释。这部作品以制造一个在球近地轨道之上的一个考古遗迹碎片的科幻图景为前提，通过数控 LED，集成显示屏和装置结构把一个实景化的考古碎片遗迹呈现在舞台上，这个装置是飞行在外层空间轨道中的一个遗迹碎片，通过现场数字视觉演绎出未来场景碎片集成了现有文明的数据，等待着时空旅行者和未来的人类，成为他们的“考古”遗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深圳地铁集团裸眼 3D 视效设计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深圳地铁集团的大屏幕裸眼 3D 视效设计，引起了广泛的关注和瞩目。这项服务由奇点艺术科技团队定制 5 件裸眼 3D 作品，分别以春夏秋冬为主题，结合地铁对城市带来的便利和商业空间对人民带来的美好，呈现出深圳地铁集团商场品牌深铁汇坊的独特魅力。裸眼 3D 和实时渲染等技术，为观众展现了令人震撼的立体效果。观众可以身临其境地感受到春夏秋冬的不同气息和情感，这些作品让观众在繁忙的都市中感受到一份独特的美好。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沉浸式数字长廊</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浙江省瑞安市城市规划馆“城市规划厅”的沉浸式数字长廊，是一个半封闭式的长廊空间，以黑为底色，包裹成恰似浩瀚宇宙的独特空间。待机模式之下，数字长廊循环播放的数字内容似发生在宇宙中不同的热烈与绚烂，草长莺飞、柳暗花明、绿叶勃发，以极具艺术的画面凸显当地富饶的自然资源，渲染出浩渺无边、极富视觉冲击力的沉浸式虚拟空间。自然开放，生意盎然，就连不同场景的转换都自带生命的韵律，有一种浑然天成的呼吸感，无处不彰显着“青春都市·幸福瑞安”的主张。如今，世界新媒体艺术正在飞速发展，呈现移动化、视频化、个性化和定制化、社交化、数据化及跨界融合性、可信度和内容质量高等多个特点，总趋势是与科技的不断进步和用户需求的变化相适应，不断演变和改进，以提高用户满意度和信任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沙特：打造世界最大的单体建筑</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沙特阿拉伯政府宣布计划建造一座 400 米高的立方体摩天大楼，可容纳 20座帝国大厦，计划将于 2030年建成，建成后将是“世界上最大的单体建筑结构之一”，也将成为世界上第一个通过全息和虚拟技术提供沉浸式体验的未来主义酒店。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 印度：人工智能艺术设计“变异校车”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印度人工智能艺术设计“变异校车”是一款全新的校车艺术设计，由印度裔建筑师 Shail Patel 概念化创作，他采用了人工智能设计工具 Midjourney 进行设计。这款校车系列名为“变异校车”，通过将艺术、技术和创新元素融入设计，创造出一种独特的交通和学习体验。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Shail Patel 运用最新算法创建了引人注目的校车结构，将艺术视野和功能性融为一体。这款校车设计超越了传统校车的形式，通过其动态的垂直形式，既呼应又增强了城市的建筑景观。这种梦幻般的融合将教育、城市和交通基础设施融为一体，让人们可以在未来的城市环境中尽情学习和探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9. 意大利：融合梵高和克里姆特作品的视听演出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“梵高在我心中 ”是意大利创作团队与荷兰室内合唱团共同创作的现场多媒体视听表演，其中两位时代标志性艺术家文森特·梵高和古斯塔夫·克里姆特的作品将引领观众穿越至 19 世纪末期，这个变革剧烈的时代。表演通过当时音乐家如萨蒂、德彪西和马勒等人创作的旋律以及重新演绎后的梵高和克里姆特作品，将观众带入跨越历史的旅程。这一结合既兼顾了包括视觉与听觉在内的即时多感官体验，同时通过作品相互映衬，形成了一种全新呈现方式，显现出了数字技术在艺术融合发展过程中所具有的无限可能。借助麦克风和传感器技术，检测并跟踪表演者们在表演中产生的情绪、手势和歌声，投射影响节目呈现出来的视觉效果。这是一种独特而新颖地理解艺术家作品、促进多元思维并创造新前所未有体验的艺术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10. 德国：声光电沉浸体验“水族”世界在德国，MANA 平台创作者 Philipp Artus 创作了“水族”。这是一个生成的水下世界，其中动画海洋生物在其中游泳，观众还可以与其交互。这件艺术作品通过抽象形状和运动探索了生命的出现。观众可以通过平板电脑设计自己心中的海洋生物，并将它们添加到虚拟生态系统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11. 法国：机器重建自然的过程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在法国，利用人工智能视觉艺术，新媒体艺术家 Alex Le Guillou 将个人思考和视觉探索周期的一部分，以自然和有机过程为主题进行视觉实验。这是一种质疑机器如何感知我们的现实的方式，这项特殊的研究把对机器重建自然的过程放在影像中展现。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12. 俄罗斯：唯美的镜面装置作品“黑色广场”俄罗斯艺术家古格里·奥雷霍夫最近在莫斯科的马列维奇公园带来了一件唯美的镜面装置作品“黑色广场”，它是第一座为纪念画家卡西米尔·马列维奇而创作的大型装置，艺术家巧妙地将作品与周围幻境相结合，同时将观众与景观的建筑空间联系起来，让艺术来源于自然又回归于自然。</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鉴赏追问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鉴赏新媒体内容从哪几个点进行呢？怎样品评新媒体的内容和形式呢？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党的二十大报告明确指出：“坚持把发展经济的着力点放在实体经济上，推进新型工业化，加快建设制造强国、质量强国、航天强国、交通强国、网络强国、数字中国。”而互联网和信息化作为新的生产力，是我们建设网络强国、数字中国的重要支撑，也是推进经济社会高质量发展的重要驱动力。互联网和信息化的重要作用，包括推动信息化与产业化深度融合、促进公共服务高效便捷、促进知识传播与交流、促进文化创新与传承、促进社会治理与公共安全、促进经济社会全球化与网络安全等方面的作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信息的真实性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内容是否真实可信，是鉴赏的重要方面。要关注其内容的来源、作者、时间等信息，以及是否有可靠的事实支撑，从而判断其真实性。新媒体涉及各个领域，新媒体平台可以通过发布真实可靠的信息，为公众提供有益的信息和服务。在生产生活、教育文化、环保和公益活动等领域中，为公众提供更广泛、更便捷的信息和服务，促进社会进步和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正确的价值观</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内容中表现的正确、积极、健康的价值观——正面的思想观念、正确的价值取向、积极的社会意义，正是党的“三个代表”思想的体现，这是鉴赏新媒体内容的关键点之一。目前，很多学校开展“微拍校园——微视”作品记录社会主义核心价值观，就是发挥新媒体平台能够为公众服务，促进社会的发展和进步的有益尝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创意和表现形式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内容的创意和表现形式是其吸引人的重要原因之一。要评估其内容的独特性、创意性和艺术性，以及其表现形式的美学表现，如色彩搭配、排版、音效等。新媒体的创意和表现形式多种多样，以下是一些常见的创意和表现形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短视频。短视频是新媒体中非常流行的一种表现形式，它利用互联网和移动设备的便利性，以短时间、高质量的视频内容吸引用户的关注。短视频可用于宣传推广、娱乐休闲、教育培训等各种场景。例如，抖音是一款非常受欢迎的短视频应用程序，它允许用户通过拍摄和分享 15 秒至 60 秒的短视频，展示自己的才华和生活。抖音通过使用人工智能和算法，为用户推荐个性化的内容和用户，吸引了大量年轻用户的关注和使用。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直播。直播是新媒体中的另一种重要表现形式，它能够实时传递音视频内容，让用户可以在线观看和参与互动。直播可用于新闻报道、演讲讲座、游戏竞技、购物导购等多种场景。此外，直播也广泛应用于商业领域，如电商直播、直播卖车、直播拍卖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社交媒体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社交媒体是一种基于用户个人信息和社交关系的新媒体形式，它让用户可以在互联网上进行社交和信息分享，如微信、微博、Facebook 等。社交媒体通过用户之间的互动和交流，形成一个社交网络，扩大了信息的传播范围和影响力。例如，微信是一款非常流行的社交媒体应用程序，它允许用户通过发送文字、语音、图片、视频等信息与朋友和家人保持联系。微信还提供了许多有趣的功能，如红包、摇一摇、朋友圈等，吸引了大量用户的使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数字内容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数字内容是新媒体中的另一种重要表现形式，它包括音频、图片、文字、动画、游戏等多种内容形式，可用于新闻报道、娱乐休闲、教育培训、广告宣传等多种场景。网易云音乐是一款流行的音乐应用程序，它通过数字化音乐内容和智能推荐算法，为用户提供个性化的音乐体验。用户可以通过网易云音乐收听和分享音乐、创建歌单、发现新的音乐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6. 人工智能和虚拟现实</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人工智能和虚拟现实是新媒体中的新兴技术和表现形式，它们通过模拟人类的感知和行为，创造出逼真的虚拟世界和交互体验。人工智能和虚拟现实可用于游戏娱乐、教育培训、医疗健康、工业制造等多个领域。例如，谷歌地球是一款非常有趣的人工智能和虚拟现实应用程序，它让用户可以通过 3D 卫星图像和航拍影像，浏览全球的地理信息和景观。用户可以通过谷歌地球探索世界各地的景点、地标、建筑等，了解地球的自然和人文风貌。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7. 用户体验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的用户体验是一个综合性的概念，涉及多个方面，包括界面设计、信息量和质量、互动和社交、个性化服务以及响应速度和稳定性等。好的用户体验可以提高用户的满意度和忠诚度，促进用户的参与和互动。新媒体内容的用户体验是其受欢迎程度的重要原因之一。需要关注内容的交互方式、易用性、响应速度等，从而评估其用户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8. 社会影响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内容对社会的影响是鉴赏的一个重要点，需要关注其内容传播的方式、传播范围、传播效果等，从而评估其社会影响力，因为新媒体在社会中的影响和作用是双重的。为了让新媒体的社会影响更加积极、健康和有益，需要倡导和落实新媒体的社会责任和伦理规范，推动新媒体的健康发展和社会责任实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难点解答</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新媒体和文化之间的关系是相互影响、相互促进的。新媒体为文化的传播和交流提供了全新的平台和渠道，同时也对文化的创造、表达和保存带来了新的机遇和挑战。新媒体文化鉴赏可以从下面四个方面入手。</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新媒体的文化背景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新媒体的数字化、网络化、多元化、全球化、用户参与、可视化和互动化是它的文化背景。了解这一背景有助于理解新媒体的发展趋势和应用场景，把握新媒体与文化之间的关系。例如，通过数字设备和网络平台获取并交流文化信息与内容，如网络直播、社交媒体、在线影像和音乐等。鉴赏者应了解新媒体内容的文化背景，包括其文化基础、历史背景、社会环境等，以更好地理解内容的文化内涵和表达方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新媒体的创新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内容的创新性是新媒体创新的首要表现。鉴赏者应评估其创新性、独特性、创造性和对传统文化的融合是创新性的体现。以中国新媒体内容创新体现在通过数字技术、网络平台创造更生动、立体和沉浸式的内容。例如，运用 AR/VR 技术的文化展览，展示传统文化与现代科技的结合；以传统文化为主题的网络游戏，结合中国传统文化元素，创新玩法和游戏体验。新媒体内容的创新性还表现在内容创作的互动性和社交性。可以通过社交媒体、直播、短视频等平台进行互动，也可以通过协作和合作等方式参与到内容的创作中。以短视频和直播为主要形式的内容平台，如抖音、快手、B 站等，可以让用户通过短小、有趣的视频形式进行内容传播和互动。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主题和风格的多样性是新媒体内容的创新性的又一表现。新媒体平台的开放性和多样性，主题和风格也更加丰富和多样化。例如，新媒体平台上可以看到包括文化、艺术、科技、娱乐、游戏等不同主题和风格的内容。又如，数字绘画、数字雕塑、数字音乐等，可以让艺术家使用数字技术进行全新的艺术表达和创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内容的情感共鸣是鉴赏的一个重要方面。鉴赏者需要评估内容的情感表达和情感价值，以及对观众情感的激发和引导。新媒体能够触发和引起用户情感反应，与用户产生情感共鸣，从而增加用户的参与感和忠诚度。例如，在社交媒体上，用户可以通过分享自己的情感体验、发布表达情感的内容，让其他用户共鸣、回应和互动。微博上的“话题”、抖音上的短视频等都能够使用户不仅可以获得信息和娱乐，还可以得到情感的满足和体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内容的多元性。鉴赏者需要评估内容的多元文化表现和多元文化交流，以及其对不同文化之间的融合和交流的促进。通过新媒体平台，用户可以接触到来自不同文化背景的内容，扩展人们的文化视野和经验，促进不同文化之间的相互理解和融合。例如，新媒体平台的多语言支持和跨文化交流，多语言版社交媒体、在线翻译、视频会议等，可以让不同文化之间的交流变得更加便利和多样化。虚拟现实技术、数字艺术、数字音乐等，可以让文化创意的形式和表达变得更加多元和创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新媒体可持续性发展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内容的可持续性。新媒体内容能够在长期发展过程中，保持对受众的吸引力和影响力，并具备可持续发展的能力。鉴赏者需要评估内容的文化传承和创新能力，以及其对文化资源的保护和发展的贡献。例如，高质量的内容能够吸引更多用户，提高用户的参与度和满意度，从而保持内容的长期吸引力和影响力。还有，新媒体内容需要与用户产生互动和联系，让用户参与到内容的创作和传播中，从而提高用户的忠诚度和参与度。用户的参与度和忠诚度是保持新媒体内容可持续性的重要因素之一，因此，新媒体平台需要不断创新。近年来，微信推出了小程序功能，使得用户可以在微信内完成购物、打车、游戏等多种功能，这种创新为用户带来了更便捷、更丰富的体验。同时，微信还推出了微信支付功能，实现了在线支付，让用户的生活更加便利。内容的创新性和独特性是保持新媒体内容可持续性的重要因素之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商业模式的可持续性。新媒体内容需要有可持续的商业模式来支持其长期发展。商业模式需要保证内容的质量、用户的参与度、内容的创新性和商业盈利等方面的平衡。所以，新媒体平台需要建立可持续的商业模式，如抖音平台在不断拓展内容领域，将美食、旅游、健康等领域融入短视频中，不断推出新的创意，这些创新不仅满足了用户的需求，也为新媒体平台的发展注入了新的动力。</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新媒体创新发展的作用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促进社会发展。新媒体可以帮助信息的传播和共享，推动信息的公开和透明，让人们更加了解和掌握信息，从而增强社会的公正和公共参与，引发关注和讨论 , 可以促进社会的发展和进步，推动社会各个领域的创新和发展。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（1）促进文化传承。新媒体内容可以帮助文化传承和保护，让更多的人了解和认识自己的文化，同时也可以促进不同文化之间的交流和融合。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（2）促进艺术创作。新媒体为艺术家和创作者提供了新的表达和创作方式，推动艺术创新和发展。同时推动艺术普及和教育，鼓励跨领域、跨艺术形式的合作与融合。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（3）促进经济发展。新媒体为企业提供广告和营销渠道，拓宽商业模式。新媒体产业带来了新的创业机会，创造就业岗位。新媒体的数据分析能力还有助于市场研究，为企业提供决策依据。</w:t>
            </w:r>
            <w:r>
              <w:rPr>
                <w:rFonts w:hint="eastAsia" w:ascii="Times New Roman" w:hAnsi="Times New Roman"/>
                <w:b/>
                <w:color w:val="000000" w:themeColor="text1"/>
                <w:lang w:eastAsia="zh-CN"/>
                <w14:textFill>
                  <w14:solidFill>
                    <w14:schemeClr w14:val="tx1"/>
                  </w14:solidFill>
                </w14:textFill>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展示新媒体艺术综述和新媒体艺术的鉴赏</w:t>
            </w:r>
            <w:r>
              <w:rPr>
                <w:rFonts w:hint="eastAsia" w:ascii="Times New Roman" w:hAnsi="Times New Roman"/>
                <w:b/>
                <w:szCs w:val="24"/>
              </w:rPr>
              <w:t>，</w:t>
            </w:r>
            <w:r>
              <w:rPr>
                <w:rFonts w:hint="eastAsia" w:ascii="Times New Roman" w:hAnsi="Times New Roman"/>
                <w:b/>
                <w:szCs w:val="24"/>
                <w:lang w:eastAsia="zh-CN"/>
              </w:rPr>
              <w:t>让学生更加仔细</w:t>
            </w:r>
            <w:r>
              <w:rPr>
                <w:rFonts w:hint="eastAsia" w:ascii="Times New Roman" w:hAnsi="Times New Roman"/>
                <w:b/>
                <w:szCs w:val="24"/>
                <w:lang w:val="en-US" w:eastAsia="zh-CN"/>
              </w:rPr>
              <w:t>地</w:t>
            </w:r>
            <w:bookmarkStart w:id="0" w:name="_GoBack"/>
            <w:bookmarkEnd w:id="0"/>
            <w:r>
              <w:rPr>
                <w:rFonts w:hint="eastAsia" w:ascii="Times New Roman" w:hAnsi="Times New Roman"/>
                <w:b/>
                <w:szCs w:val="24"/>
                <w:lang w:eastAsia="zh-CN"/>
              </w:rPr>
              <w:t>阅读，从而</w:t>
            </w:r>
            <w:r>
              <w:rPr>
                <w:rFonts w:hint="eastAsia" w:ascii="Times New Roman" w:hAnsi="Times New Roman"/>
                <w:b/>
                <w:szCs w:val="24"/>
              </w:rPr>
              <w:t>激发学生的学习欲望。</w:t>
            </w:r>
          </w:p>
        </w:tc>
      </w:tr>
      <w:tr>
        <w:trPr>
          <w:trHeight w:val="134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textAlignment w:val="auto"/>
              <w:rPr>
                <w:rFonts w:hint="eastAsia" w:hAnsi="宋体" w:eastAsia="宋体"/>
                <w:bCs/>
                <w:lang w:eastAsia="zh-CN"/>
              </w:rPr>
            </w:pPr>
            <w:r>
              <w:rPr>
                <w:rFonts w:hint="eastAsia" w:hAnsi="宋体"/>
                <w:bCs/>
                <w:lang w:val="en-US" w:eastAsia="zh-CN"/>
              </w:rPr>
              <w:t>简述新媒体的审美价值。</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rPr>
          <w:trHeight w:val="325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w:t>
            </w:r>
            <w:r>
              <w:rPr>
                <w:rFonts w:hint="eastAsia" w:ascii="宋体" w:hAnsi="宋体" w:cs="宋体"/>
                <w:b w:val="0"/>
                <w:bCs/>
                <w:color w:val="C00000"/>
                <w:kern w:val="2"/>
                <w:sz w:val="21"/>
                <w:szCs w:val="21"/>
                <w:lang w:val="en-US" w:eastAsia="zh-CN" w:bidi="ar"/>
              </w:rPr>
              <w:t>实践内容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运用所学知识鉴赏以下的作品。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01/ 2020振荡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2020振荡是Miguel Chevalier的作品，他是虚拟艺术和数字艺术的先驱之一。其作品在结合艺术史精髓之余，还将自然和技巧、流动和网络、虚拟城市和华丽的设计相融合，利用科学的计算方法作为一种艺术表达手段来创造生成性和交互性的虚拟现实装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3190875" cy="2258695"/>
                  <wp:effectExtent l="0" t="0" r="952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3190875" cy="2258695"/>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eastAsia"/>
                <w:lang w:val="en-US" w:eastAsia="zh-CN"/>
              </w:rPr>
              <w:t>02/ 蒸汽</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eastAsia"/>
                <w:lang w:val="en-US" w:eastAsia="zh-CN"/>
              </w:rPr>
              <w:t>蒸汽像一缕飘在空气中薄雾，随风而散，消失得无影无踪，它却流动在整个场景里，如影随行，可触可摸。</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default"/>
              </w:rPr>
            </w:pPr>
            <w:r>
              <w:rPr>
                <w:rFonts w:hint="default"/>
              </w:rPr>
              <w:drawing>
                <wp:inline distT="0" distB="0" distL="114300" distR="114300">
                  <wp:extent cx="3251200" cy="2420620"/>
                  <wp:effectExtent l="0" t="0" r="0"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251200" cy="242062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eastAsia"/>
                <w:lang w:val="en-US" w:eastAsia="zh-CN"/>
              </w:rPr>
              <w:t>03/ VLES</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eastAsia"/>
                <w:lang w:val="en-US" w:eastAsia="zh-CN"/>
              </w:rPr>
              <w:t>VLES装置利用可移动式聚光灯，可让观众沉浸于一个充满神奇生物的秘密森林之中。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eastAsia"/>
                <w:lang w:val="en-US" w:eastAsia="zh-CN"/>
              </w:rPr>
              <w:t>在长为4.5米的正方形房间的中央安装了三台可移动式聚光灯，制作团队将神秘森林的影像投射到了房间中的两面墙上。聚光灯投射的光为红外光，不会影响墙壁上的投影。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0" w:firstLineChars="200"/>
              <w:jc w:val="both"/>
              <w:textAlignment w:val="auto"/>
              <w:rPr>
                <w:rFonts w:hint="eastAsia"/>
                <w:lang w:val="en-US" w:eastAsia="zh-CN"/>
              </w:rPr>
            </w:pPr>
            <w:r>
              <w:rPr>
                <w:rFonts w:hint="default"/>
              </w:rPr>
              <w:drawing>
                <wp:inline distT="0" distB="0" distL="114300" distR="114300">
                  <wp:extent cx="2560955" cy="1436370"/>
                  <wp:effectExtent l="0" t="0" r="444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560955" cy="1436370"/>
                          </a:xfrm>
                          <a:prstGeom prst="rect">
                            <a:avLst/>
                          </a:prstGeom>
                          <a:noFill/>
                          <a:ln>
                            <a:noFill/>
                          </a:ln>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通过教师讲解，运用知识完成实践任务。</w:t>
            </w:r>
          </w:p>
        </w:tc>
      </w:tr>
      <w:tr>
        <w:trPr>
          <w:trHeight w:val="90"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实践内容，让学生知道VLES装置利用可移动式聚光灯，可让观众沉浸于一个充满神奇生物的秘密森林之中。</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rPr>
          <w:trHeight w:val="1531"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0" w:firstLineChars="200"/>
              <w:jc w:val="both"/>
              <w:textAlignment w:val="auto"/>
              <w:rPr>
                <w:rFonts w:hint="default"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简述虚拟艺术的特点。</w:t>
            </w:r>
          </w:p>
        </w:tc>
        <w:tc>
          <w:tcPr>
            <w:tcW w:w="1366" w:type="dxa"/>
            <w:tcBorders>
              <w:top w:val="single" w:color="auto" w:sz="4" w:space="0"/>
              <w:left w:val="single" w:color="auto" w:sz="4" w:space="0"/>
              <w:bottom w:val="doub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rPr>
          <w:trHeight w:val="974" w:hRule="atLeast"/>
          <w:jc w:val="center"/>
        </w:trPr>
        <w:tc>
          <w:tcPr>
            <w:tcW w:w="127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书本世界是那么的“枯燥”、抽象和不生动；生活是五彩的颜色，是具体的，是生动的，是活泼的，我的教学“活化”教材，让教材上的每个文字迸发出其本来的丰富性和生动性。</w:t>
            </w:r>
          </w:p>
        </w:tc>
      </w:tr>
    </w:tbl>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10" w:usb3="00000000" w:csb0="00040000" w:csb1="00000000"/>
  </w:font>
  <w:font w:name="Calibri Light">
    <w:altName w:val="Helvetica Neue"/>
    <w:panose1 w:val="020F0302020204030204"/>
    <w:charset w:val="00"/>
    <w:family w:val="swiss"/>
    <w:pitch w:val="default"/>
    <w:sig w:usb0="00000000" w:usb1="00000000" w:usb2="00000009" w:usb3="00000000" w:csb0="000001FF" w:csb1="00000000"/>
  </w:font>
  <w:font w:name="仿宋_GB2312">
    <w:altName w:val="方正仿宋_GBK"/>
    <w:panose1 w:val="02010609030101010101"/>
    <w:charset w:val="86"/>
    <w:family w:val="modern"/>
    <w:pitch w:val="default"/>
    <w:sig w:usb0="00000000" w:usb1="0000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2F6E73AD"/>
    <w:rsid w:val="3BFD587B"/>
    <w:rsid w:val="3CFFE904"/>
    <w:rsid w:val="3FDF52F0"/>
    <w:rsid w:val="436C72A2"/>
    <w:rsid w:val="44B33A23"/>
    <w:rsid w:val="690A0478"/>
    <w:rsid w:val="6EFF2889"/>
    <w:rsid w:val="76FE0FF8"/>
    <w:rsid w:val="77D7FB2F"/>
    <w:rsid w:val="77E71012"/>
    <w:rsid w:val="B6F7A2A3"/>
    <w:rsid w:val="BFFB71B6"/>
    <w:rsid w:val="E5FD20F1"/>
    <w:rsid w:val="EB9BAD13"/>
    <w:rsid w:val="FBFD899D"/>
    <w:rsid w:val="FDDE7FC6"/>
    <w:rsid w:val="FFFCE1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2"/>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4"/>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5"/>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1">
    <w:name w:val="Default Paragraph Font"/>
    <w:semiHidden/>
    <w:unhideWhenUsed/>
    <w:qFormat/>
    <w:uiPriority w:val="1"/>
  </w:style>
  <w:style w:type="table" w:default="1" w:styleId="9">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27"/>
    <w:unhideWhenUsed/>
    <w:qFormat/>
    <w:uiPriority w:val="0"/>
    <w:rPr>
      <w:rFonts w:eastAsia="黑体" w:asciiTheme="majorHAnsi" w:hAnsiTheme="majorHAnsi" w:cstheme="majorBidi"/>
      <w:sz w:val="20"/>
      <w:szCs w:val="20"/>
    </w:rPr>
  </w:style>
  <w:style w:type="paragraph" w:styleId="7">
    <w:name w:val="footer"/>
    <w:basedOn w:val="1"/>
    <w:link w:val="18"/>
    <w:unhideWhenUsed/>
    <w:qFormat/>
    <w:uiPriority w:val="99"/>
    <w:pPr>
      <w:tabs>
        <w:tab w:val="center" w:pos="4153"/>
        <w:tab w:val="right" w:pos="8306"/>
      </w:tabs>
      <w:snapToGrid w:val="0"/>
      <w:jc w:val="left"/>
    </w:pPr>
    <w:rPr>
      <w:sz w:val="18"/>
      <w:szCs w:val="18"/>
    </w:rPr>
  </w:style>
  <w:style w:type="paragraph" w:styleId="8">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眉 Char"/>
    <w:basedOn w:val="11"/>
    <w:link w:val="8"/>
    <w:qFormat/>
    <w:uiPriority w:val="99"/>
    <w:rPr>
      <w:rFonts w:ascii="Calibri" w:hAnsi="Calibri" w:eastAsia="宋体" w:cs="Times New Roman"/>
      <w:sz w:val="18"/>
      <w:szCs w:val="18"/>
    </w:rPr>
  </w:style>
  <w:style w:type="character" w:customStyle="1" w:styleId="18">
    <w:name w:val="页脚 Char"/>
    <w:basedOn w:val="11"/>
    <w:link w:val="7"/>
    <w:qFormat/>
    <w:uiPriority w:val="99"/>
    <w:rPr>
      <w:rFonts w:ascii="Calibri" w:hAnsi="Calibri" w:eastAsia="宋体" w:cs="Times New Roman"/>
      <w:sz w:val="18"/>
      <w:szCs w:val="18"/>
    </w:rPr>
  </w:style>
  <w:style w:type="paragraph" w:styleId="19">
    <w:name w:val="List Paragraph"/>
    <w:basedOn w:val="1"/>
    <w:qFormat/>
    <w:uiPriority w:val="34"/>
    <w:pPr>
      <w:ind w:firstLine="420" w:firstLineChars="200"/>
    </w:pPr>
  </w:style>
  <w:style w:type="paragraph" w:customStyle="1" w:styleId="20">
    <w:name w:val="知识拓展内容"/>
    <w:basedOn w:val="1"/>
    <w:link w:val="21"/>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1">
    <w:name w:val="知识拓展内容 Char"/>
    <w:link w:val="20"/>
    <w:qFormat/>
    <w:uiPriority w:val="0"/>
    <w:rPr>
      <w:rFonts w:ascii="Times New Roman" w:hAnsi="Times New Roman" w:eastAsia="仿宋_GB2312" w:cs="Times New Roman"/>
      <w:kern w:val="10"/>
      <w:szCs w:val="21"/>
      <w:shd w:val="clear" w:color="auto" w:fill="FADCE9"/>
      <w:lang w:val="zh-CN" w:eastAsia="zh-CN"/>
    </w:rPr>
  </w:style>
  <w:style w:type="character" w:customStyle="1" w:styleId="22">
    <w:name w:val="标题 4 Char"/>
    <w:basedOn w:val="11"/>
    <w:link w:val="3"/>
    <w:uiPriority w:val="0"/>
    <w:rPr>
      <w:rFonts w:ascii="Times New Roman" w:hAnsi="Times New Roman" w:eastAsia="方正宋黑_GBK" w:cs="Times New Roman"/>
      <w:color w:val="E4007F"/>
      <w:sz w:val="26"/>
      <w:szCs w:val="20"/>
    </w:rPr>
  </w:style>
  <w:style w:type="character" w:customStyle="1" w:styleId="23">
    <w:name w:val="字符样式 拼音字体"/>
    <w:qFormat/>
    <w:uiPriority w:val="0"/>
    <w:rPr>
      <w:rFonts w:ascii="PinYinok" w:hAnsi="PinYinok"/>
      <w:sz w:val="24"/>
      <w:szCs w:val="24"/>
    </w:rPr>
  </w:style>
  <w:style w:type="character" w:customStyle="1" w:styleId="24">
    <w:name w:val="标题 5 Char"/>
    <w:basedOn w:val="11"/>
    <w:link w:val="4"/>
    <w:semiHidden/>
    <w:qFormat/>
    <w:uiPriority w:val="9"/>
    <w:rPr>
      <w:rFonts w:ascii="Calibri" w:hAnsi="Calibri" w:eastAsia="宋体" w:cs="Times New Roman"/>
      <w:b/>
      <w:bCs/>
      <w:sz w:val="28"/>
      <w:szCs w:val="28"/>
    </w:rPr>
  </w:style>
  <w:style w:type="character" w:customStyle="1" w:styleId="25">
    <w:name w:val="标题 6 Char"/>
    <w:basedOn w:val="11"/>
    <w:link w:val="5"/>
    <w:semiHidden/>
    <w:uiPriority w:val="9"/>
    <w:rPr>
      <w:rFonts w:asciiTheme="majorHAnsi" w:hAnsiTheme="majorHAnsi" w:eastAsiaTheme="majorEastAsia" w:cstheme="majorBidi"/>
      <w:b/>
      <w:bCs/>
      <w:sz w:val="24"/>
      <w:szCs w:val="24"/>
    </w:rPr>
  </w:style>
  <w:style w:type="paragraph" w:customStyle="1" w:styleId="26">
    <w:name w:val="图片"/>
    <w:basedOn w:val="1"/>
    <w:next w:val="6"/>
    <w:link w:val="28"/>
    <w:qFormat/>
    <w:uiPriority w:val="0"/>
    <w:pPr>
      <w:spacing w:before="120"/>
      <w:jc w:val="center"/>
    </w:pPr>
    <w:rPr>
      <w:rFonts w:ascii="Times New Roman" w:hAnsi="Times New Roman"/>
      <w:szCs w:val="20"/>
    </w:rPr>
  </w:style>
  <w:style w:type="character" w:customStyle="1" w:styleId="27">
    <w:name w:val="题注 Char"/>
    <w:link w:val="6"/>
    <w:qFormat/>
    <w:locked/>
    <w:uiPriority w:val="0"/>
    <w:rPr>
      <w:rFonts w:eastAsia="黑体" w:asciiTheme="majorHAnsi" w:hAnsiTheme="majorHAnsi" w:cstheme="majorBidi"/>
      <w:sz w:val="20"/>
      <w:szCs w:val="20"/>
    </w:rPr>
  </w:style>
  <w:style w:type="character" w:customStyle="1" w:styleId="28">
    <w:name w:val="图片 Char"/>
    <w:link w:val="26"/>
    <w:locked/>
    <w:uiPriority w:val="0"/>
    <w:rPr>
      <w:rFonts w:ascii="Times New Roman" w:hAnsi="Times New Roman" w:eastAsia="宋体" w:cs="Times New Roman"/>
      <w:szCs w:val="20"/>
    </w:rPr>
  </w:style>
  <w:style w:type="character" w:customStyle="1" w:styleId="29">
    <w:name w:val="标题 3 Char"/>
    <w:basedOn w:val="11"/>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13473</Words>
  <Characters>13811</Characters>
  <Lines>1</Lines>
  <Paragraphs>1</Paragraphs>
  <TotalTime>31</TotalTime>
  <ScaleCrop>false</ScaleCrop>
  <LinksUpToDate>false</LinksUpToDate>
  <CharactersWithSpaces>13995</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2021-06-12T18:03:00Z</dcterms:created>
  <dc:creator>DELL</dc:creator>
  <cp:lastModifiedBy>无谓</cp:lastModifiedBy>
  <dcterms:modified xsi:type="dcterms:W3CDTF">2024-07-18T23:30:47Z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A8E2DC1A44CC95E1744491664B36A26B_43</vt:lpwstr>
  </property>
</Properties>
</file>