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rPr>
          <w:rFonts w:asciiTheme="minorEastAsia" w:hAnsiTheme="minorEastAsia" w:eastAsiaTheme="minorEastAsia"/>
          <w:color w:val="auto"/>
        </w:rPr>
      </w:pPr>
    </w:p>
    <w:p>
      <w:pPr>
        <w:spacing w:line="256" w:lineRule="auto"/>
        <w:ind w:right="61" w:rightChars="29"/>
        <w:rPr>
          <w:rFonts w:asciiTheme="minorEastAsia" w:hAnsiTheme="minorEastAsia" w:eastAsiaTheme="minorEastAsia"/>
          <w:color w:val="auto"/>
        </w:rPr>
      </w:pPr>
    </w:p>
    <w:p>
      <w:pPr>
        <w:spacing w:line="257" w:lineRule="auto"/>
        <w:rPr>
          <w:rFonts w:asciiTheme="minorEastAsia" w:hAnsiTheme="minorEastAsia" w:eastAsiaTheme="minorEastAsia"/>
          <w:color w:val="auto"/>
        </w:rPr>
      </w:pPr>
    </w:p>
    <w:p>
      <w:pPr>
        <w:spacing w:line="257" w:lineRule="auto"/>
        <w:rPr>
          <w:rFonts w:asciiTheme="minorEastAsia" w:hAnsiTheme="minorEastAsia" w:eastAsiaTheme="minorEastAsia"/>
          <w:color w:val="auto"/>
        </w:rPr>
      </w:pPr>
    </w:p>
    <w:p>
      <w:pPr>
        <w:spacing w:before="193" w:line="241" w:lineRule="auto"/>
        <w:ind w:right="61"/>
        <w:jc w:val="center"/>
        <w:rPr>
          <w:rFonts w:cs="微软雅黑" w:asciiTheme="minorEastAsia" w:hAnsiTheme="minorEastAsia" w:eastAsiaTheme="minorEastAsia"/>
          <w:color w:val="auto"/>
          <w:spacing w:val="8"/>
          <w:sz w:val="45"/>
          <w:szCs w:val="45"/>
          <w:lang w:eastAsia="zh-CN"/>
        </w:rPr>
      </w:pPr>
      <w:r>
        <w:rPr>
          <w:rFonts w:hint="eastAsia" w:cs="微软雅黑" w:asciiTheme="minorEastAsia" w:hAnsiTheme="minorEastAsia" w:eastAsiaTheme="minorEastAsia"/>
          <w:color w:val="auto"/>
          <w:spacing w:val="8"/>
          <w:sz w:val="45"/>
          <w:szCs w:val="45"/>
          <w:lang w:val="en-US" w:eastAsia="zh-CN"/>
        </w:rPr>
        <w:t>××</w:t>
      </w:r>
      <w:r>
        <w:rPr>
          <w:rFonts w:hint="eastAsia" w:cs="微软雅黑" w:asciiTheme="minorEastAsia" w:hAnsiTheme="minorEastAsia" w:eastAsiaTheme="minorEastAsia"/>
          <w:color w:val="auto"/>
          <w:spacing w:val="8"/>
          <w:sz w:val="45"/>
          <w:szCs w:val="45"/>
          <w:lang w:eastAsia="zh-CN"/>
        </w:rPr>
        <w:t>职业技术学院</w:t>
      </w:r>
    </w:p>
    <w:p>
      <w:pPr>
        <w:spacing w:before="193" w:line="241" w:lineRule="auto"/>
        <w:ind w:right="61"/>
        <w:jc w:val="center"/>
        <w:rPr>
          <w:rFonts w:hint="eastAsia" w:cs="微软雅黑" w:asciiTheme="minorEastAsia" w:hAnsiTheme="minorEastAsia" w:eastAsiaTheme="minorEastAsia"/>
          <w:color w:val="auto"/>
          <w:spacing w:val="12"/>
          <w:sz w:val="45"/>
          <w:szCs w:val="45"/>
          <w:lang w:eastAsia="zh-CN"/>
        </w:rPr>
      </w:pPr>
      <w:r>
        <w:rPr>
          <w:rFonts w:hint="eastAsia" w:cs="微软雅黑" w:asciiTheme="minorEastAsia" w:hAnsiTheme="minorEastAsia" w:eastAsiaTheme="minorEastAsia"/>
          <w:color w:val="auto"/>
          <w:spacing w:val="12"/>
          <w:sz w:val="45"/>
          <w:szCs w:val="45"/>
          <w:lang w:eastAsia="zh-CN"/>
        </w:rPr>
        <w:t>高职军事理论实用教程</w:t>
      </w:r>
    </w:p>
    <w:p>
      <w:pPr>
        <w:spacing w:before="193" w:line="241" w:lineRule="auto"/>
        <w:ind w:right="61"/>
        <w:jc w:val="center"/>
        <w:rPr>
          <w:rFonts w:cs="微软雅黑" w:asciiTheme="minorEastAsia" w:hAnsiTheme="minorEastAsia" w:eastAsiaTheme="minorEastAsia"/>
          <w:color w:val="auto"/>
          <w:sz w:val="45"/>
          <w:szCs w:val="45"/>
          <w:lang w:eastAsia="zh-CN"/>
        </w:rPr>
      </w:pPr>
      <w:r>
        <w:rPr>
          <w:rFonts w:cs="微软雅黑" w:asciiTheme="minorEastAsia" w:hAnsiTheme="minorEastAsia" w:eastAsiaTheme="minorEastAsia"/>
          <w:color w:val="auto"/>
          <w:spacing w:val="12"/>
          <w:sz w:val="45"/>
          <w:szCs w:val="45"/>
          <w:lang w:eastAsia="zh-CN"/>
        </w:rPr>
        <w:t>（202</w:t>
      </w:r>
      <w:r>
        <w:rPr>
          <w:rFonts w:hint="eastAsia" w:cs="微软雅黑" w:asciiTheme="minorEastAsia" w:hAnsiTheme="minorEastAsia" w:eastAsiaTheme="minorEastAsia"/>
          <w:color w:val="auto"/>
          <w:spacing w:val="12"/>
          <w:sz w:val="45"/>
          <w:szCs w:val="45"/>
          <w:lang w:val="en-US" w:eastAsia="zh-CN"/>
        </w:rPr>
        <w:t>6</w:t>
      </w:r>
      <w:r>
        <w:rPr>
          <w:rFonts w:cs="微软雅黑" w:asciiTheme="minorEastAsia" w:hAnsiTheme="minorEastAsia" w:eastAsiaTheme="minorEastAsia"/>
          <w:color w:val="auto"/>
          <w:spacing w:val="12"/>
          <w:sz w:val="45"/>
          <w:szCs w:val="45"/>
          <w:lang w:eastAsia="zh-CN"/>
        </w:rPr>
        <w:t>年</w:t>
      </w:r>
      <w:r>
        <w:rPr>
          <w:rFonts w:cs="微软雅黑" w:asciiTheme="minorEastAsia" w:hAnsiTheme="minorEastAsia" w:eastAsiaTheme="minorEastAsia"/>
          <w:color w:val="auto"/>
          <w:spacing w:val="-21"/>
          <w:sz w:val="45"/>
          <w:szCs w:val="45"/>
          <w:lang w:eastAsia="zh-CN"/>
        </w:rPr>
        <w:t>）（</w:t>
      </w:r>
      <w:r>
        <w:rPr>
          <w:rFonts w:cs="微软雅黑" w:asciiTheme="minorEastAsia" w:hAnsiTheme="minorEastAsia" w:eastAsiaTheme="minorEastAsia"/>
          <w:color w:val="auto"/>
          <w:spacing w:val="12"/>
          <w:sz w:val="45"/>
          <w:szCs w:val="45"/>
          <w:lang w:eastAsia="zh-CN"/>
        </w:rPr>
        <w:t>试行）</w:t>
      </w:r>
    </w:p>
    <w:p>
      <w:pPr>
        <w:spacing w:line="241" w:lineRule="auto"/>
        <w:jc w:val="center"/>
        <w:rPr>
          <w:rFonts w:cs="微软雅黑" w:asciiTheme="minorEastAsia" w:hAnsiTheme="minorEastAsia" w:eastAsiaTheme="minorEastAsia"/>
          <w:color w:val="auto"/>
          <w:sz w:val="45"/>
          <w:szCs w:val="45"/>
          <w:lang w:eastAsia="zh-CN"/>
        </w:rPr>
        <w:sectPr>
          <w:pgSz w:w="10820" w:h="15080"/>
          <w:pgMar w:top="1281" w:right="1623" w:bottom="0" w:left="1623" w:header="0" w:footer="0" w:gutter="0"/>
          <w:pgBorders>
            <w:top w:val="none" w:sz="0" w:space="0"/>
            <w:left w:val="none" w:sz="0" w:space="0"/>
            <w:bottom w:val="none" w:sz="0" w:space="0"/>
            <w:right w:val="none" w:sz="0" w:space="0"/>
          </w:pgBorders>
          <w:cols w:space="720" w:num="1"/>
        </w:sectPr>
      </w:pPr>
    </w:p>
    <w:p>
      <w:pPr>
        <w:spacing w:line="261" w:lineRule="auto"/>
        <w:rPr>
          <w:rFonts w:asciiTheme="minorEastAsia" w:hAnsiTheme="minorEastAsia" w:eastAsiaTheme="minorEastAsia"/>
          <w:color w:val="auto"/>
          <w:lang w:eastAsia="zh-CN"/>
        </w:rPr>
      </w:pPr>
    </w:p>
    <w:p>
      <w:pPr>
        <w:spacing w:line="261" w:lineRule="auto"/>
        <w:rPr>
          <w:rFonts w:asciiTheme="minorEastAsia" w:hAnsiTheme="minorEastAsia" w:eastAsiaTheme="minorEastAsia"/>
          <w:color w:val="auto"/>
          <w:lang w:eastAsia="zh-CN"/>
        </w:rPr>
      </w:pPr>
    </w:p>
    <w:sdt>
      <w:sdtPr>
        <w:rPr>
          <w:rFonts w:asciiTheme="minorEastAsia" w:hAnsiTheme="minorEastAsia" w:eastAsiaTheme="minorEastAsia"/>
          <w:color w:val="auto"/>
          <w:sz w:val="45"/>
          <w:szCs w:val="45"/>
        </w:rPr>
        <w:id w:val="147479868"/>
        <w:docPartObj>
          <w:docPartGallery w:val="Table of Contents"/>
          <w:docPartUnique/>
        </w:docPartObj>
      </w:sdtPr>
      <w:sdtEndPr>
        <w:rPr>
          <w:rFonts w:cs="Times New Roman" w:asciiTheme="minorEastAsia" w:hAnsiTheme="minorEastAsia" w:eastAsiaTheme="minorEastAsia"/>
          <w:color w:val="auto"/>
          <w:sz w:val="24"/>
          <w:szCs w:val="21"/>
        </w:rPr>
      </w:sdtEndPr>
      <w:sdtContent>
        <w:p>
          <w:pPr>
            <w:pStyle w:val="3"/>
            <w:spacing w:before="240" w:beforeLines="100" w:after="240" w:afterLines="100" w:line="178" w:lineRule="auto"/>
            <w:jc w:val="center"/>
            <w:rPr>
              <w:rFonts w:asciiTheme="minorEastAsia" w:hAnsiTheme="minorEastAsia" w:eastAsiaTheme="minorEastAsia"/>
              <w:color w:val="auto"/>
              <w:sz w:val="45"/>
              <w:szCs w:val="45"/>
              <w:lang w:eastAsia="zh-CN"/>
            </w:rPr>
          </w:pPr>
          <w:r>
            <w:rPr>
              <w:rFonts w:asciiTheme="minorEastAsia" w:hAnsiTheme="minorEastAsia" w:eastAsiaTheme="minorEastAsia"/>
              <w:color w:val="auto"/>
              <w:spacing w:val="-31"/>
              <w:sz w:val="45"/>
              <w:szCs w:val="45"/>
              <w:lang w:eastAsia="zh-CN"/>
            </w:rPr>
            <w:t>目</w:t>
          </w:r>
          <w:r>
            <w:rPr>
              <w:rFonts w:hint="eastAsia" w:asciiTheme="minorEastAsia" w:hAnsiTheme="minorEastAsia" w:eastAsiaTheme="minorEastAsia"/>
              <w:color w:val="auto"/>
              <w:spacing w:val="-31"/>
              <w:sz w:val="45"/>
              <w:szCs w:val="45"/>
              <w:lang w:eastAsia="zh-CN"/>
            </w:rPr>
            <w:t xml:space="preserve">    </w:t>
          </w:r>
          <w:r>
            <w:rPr>
              <w:rFonts w:asciiTheme="minorEastAsia" w:hAnsiTheme="minorEastAsia" w:eastAsiaTheme="minorEastAsia"/>
              <w:color w:val="auto"/>
              <w:spacing w:val="-31"/>
              <w:sz w:val="45"/>
              <w:szCs w:val="45"/>
              <w:lang w:eastAsia="zh-CN"/>
            </w:rPr>
            <w:t>录</w:t>
          </w:r>
        </w:p>
        <w:p>
          <w:pPr>
            <w:pStyle w:val="3"/>
            <w:tabs>
              <w:tab w:val="right" w:leader="dot" w:pos="7938"/>
            </w:tabs>
            <w:spacing w:line="360" w:lineRule="auto"/>
            <w:ind w:left="111"/>
            <w:jc w:val="both"/>
            <w:rPr>
              <w:rFonts w:cs="Times New Roman" w:asciiTheme="minorEastAsia" w:hAnsiTheme="minorEastAsia" w:eastAsiaTheme="minorEastAsia"/>
              <w:color w:val="auto"/>
              <w:sz w:val="24"/>
              <w:lang w:eastAsia="zh-CN"/>
            </w:rPr>
          </w:pPr>
          <w:r>
            <w:fldChar w:fldCharType="begin"/>
          </w:r>
          <w:r>
            <w:instrText xml:space="preserve"> HYPERLINK \l "bookmark2" </w:instrText>
          </w:r>
          <w:r>
            <w:fldChar w:fldCharType="separate"/>
          </w:r>
          <w:r>
            <w:rPr>
              <w:rFonts w:asciiTheme="minorEastAsia" w:hAnsiTheme="minorEastAsia" w:eastAsiaTheme="minorEastAsia"/>
              <w:color w:val="auto"/>
              <w:spacing w:val="-2"/>
              <w:sz w:val="24"/>
              <w:lang w:eastAsia="zh-CN"/>
            </w:rPr>
            <w:t>一、课程性质与任务</w:t>
          </w:r>
          <w:r>
            <w:rPr>
              <w:rFonts w:asciiTheme="minorEastAsia" w:hAnsiTheme="minorEastAsia" w:eastAsiaTheme="minorEastAsia"/>
              <w:color w:val="auto"/>
              <w:spacing w:val="-27"/>
              <w:sz w:val="24"/>
              <w:lang w:eastAsia="zh-CN"/>
            </w:rPr>
            <w:t xml:space="preserve">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5"/>
              <w:sz w:val="24"/>
              <w:lang w:eastAsia="zh-CN"/>
            </w:rPr>
            <w:t>1</w:t>
          </w:r>
          <w:r>
            <w:rPr>
              <w:rFonts w:cs="Times New Roman" w:asciiTheme="minorEastAsia" w:hAnsiTheme="minorEastAsia" w:eastAsiaTheme="minorEastAsia"/>
              <w:color w:val="auto"/>
              <w:spacing w:val="-25"/>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"bookmark3" </w:instrText>
          </w:r>
          <w:r>
            <w:fldChar w:fldCharType="separate"/>
          </w:r>
          <w:r>
            <w:rPr>
              <w:rFonts w:asciiTheme="minorEastAsia" w:hAnsiTheme="minorEastAsia" w:eastAsiaTheme="minorEastAsia"/>
              <w:color w:val="auto"/>
              <w:sz w:val="24"/>
              <w:lang w:eastAsia="zh-CN"/>
            </w:rPr>
            <w:t xml:space="preserve">（一）课程性质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5"/>
              <w:sz w:val="24"/>
              <w:lang w:eastAsia="zh-CN"/>
            </w:rPr>
            <w:t>1</w:t>
          </w:r>
          <w:r>
            <w:rPr>
              <w:rFonts w:cs="Times New Roman" w:asciiTheme="minorEastAsia" w:hAnsiTheme="minorEastAsia" w:eastAsiaTheme="minorEastAsia"/>
              <w:color w:val="auto"/>
              <w:spacing w:val="-25"/>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"bookmark4" </w:instrText>
          </w:r>
          <w:r>
            <w:fldChar w:fldCharType="separate"/>
          </w:r>
          <w:r>
            <w:rPr>
              <w:rFonts w:asciiTheme="minorEastAsia" w:hAnsiTheme="minorEastAsia" w:eastAsiaTheme="minorEastAsia"/>
              <w:color w:val="auto"/>
              <w:sz w:val="24"/>
              <w:lang w:eastAsia="zh-CN"/>
            </w:rPr>
            <w:t xml:space="preserve">（二）课程任务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5"/>
              <w:sz w:val="24"/>
              <w:lang w:eastAsia="zh-CN"/>
            </w:rPr>
            <w:t>1</w:t>
          </w:r>
          <w:r>
            <w:rPr>
              <w:rFonts w:cs="Times New Roman" w:asciiTheme="minorEastAsia" w:hAnsiTheme="minorEastAsia" w:eastAsiaTheme="minorEastAsia"/>
              <w:color w:val="auto"/>
              <w:spacing w:val="-25"/>
              <w:sz w:val="24"/>
              <w:lang w:eastAsia="zh-CN"/>
            </w:rPr>
            <w:fldChar w:fldCharType="end"/>
          </w:r>
        </w:p>
        <w:p>
          <w:pPr>
            <w:pStyle w:val="3"/>
            <w:tabs>
              <w:tab w:val="right" w:leader="dot" w:pos="7938"/>
            </w:tabs>
            <w:spacing w:line="360" w:lineRule="auto"/>
            <w:ind w:left="115"/>
            <w:jc w:val="both"/>
            <w:rPr>
              <w:rFonts w:cs="Times New Roman" w:asciiTheme="minorEastAsia" w:hAnsiTheme="minorEastAsia" w:eastAsiaTheme="minorEastAsia"/>
              <w:color w:val="auto"/>
              <w:sz w:val="24"/>
              <w:lang w:eastAsia="zh-CN"/>
            </w:rPr>
          </w:pPr>
          <w:r>
            <w:fldChar w:fldCharType="begin"/>
          </w:r>
          <w:r>
            <w:instrText xml:space="preserve"> HYPERLINK \l "bookmark5" </w:instrText>
          </w:r>
          <w:r>
            <w:fldChar w:fldCharType="separate"/>
          </w:r>
          <w:r>
            <w:rPr>
              <w:rFonts w:asciiTheme="minorEastAsia" w:hAnsiTheme="minorEastAsia" w:eastAsiaTheme="minorEastAsia"/>
              <w:color w:val="auto"/>
              <w:spacing w:val="-2"/>
              <w:sz w:val="24"/>
              <w:lang w:eastAsia="zh-CN"/>
            </w:rPr>
            <w:t>二、课程目标与要求</w:t>
          </w:r>
          <w:r>
            <w:rPr>
              <w:rFonts w:asciiTheme="minorEastAsia" w:hAnsiTheme="minorEastAsia" w:eastAsiaTheme="minorEastAsia"/>
              <w:color w:val="auto"/>
              <w:spacing w:val="-31"/>
              <w:sz w:val="24"/>
              <w:lang w:eastAsia="zh-CN"/>
            </w:rPr>
            <w:t xml:space="preserve">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5"/>
              <w:sz w:val="24"/>
              <w:lang w:eastAsia="zh-CN"/>
            </w:rPr>
            <w:t>1</w:t>
          </w:r>
          <w:r>
            <w:rPr>
              <w:rFonts w:cs="Times New Roman" w:asciiTheme="minorEastAsia" w:hAnsiTheme="minorEastAsia" w:eastAsiaTheme="minorEastAsia"/>
              <w:color w:val="auto"/>
              <w:spacing w:val="-25"/>
              <w:sz w:val="24"/>
              <w:lang w:eastAsia="zh-CN"/>
            </w:rPr>
            <w:fldChar w:fldCharType="end"/>
          </w:r>
        </w:p>
        <w:p>
          <w:pPr>
            <w:pStyle w:val="3"/>
            <w:tabs>
              <w:tab w:val="right" w:leader="dot" w:pos="7938"/>
            </w:tabs>
            <w:spacing w:line="360" w:lineRule="auto"/>
            <w:ind w:left="113"/>
            <w:jc w:val="both"/>
            <w:rPr>
              <w:rFonts w:hint="eastAsia" w:cs="Times New Roman" w:asciiTheme="minorEastAsia" w:hAnsiTheme="minorEastAsia" w:eastAsiaTheme="minorEastAsia"/>
              <w:color w:val="auto"/>
              <w:spacing w:val="23"/>
              <w:sz w:val="24"/>
              <w:lang w:eastAsia="zh-CN"/>
            </w:rPr>
          </w:pPr>
          <w:r>
            <w:fldChar w:fldCharType="begin"/>
          </w:r>
          <w:r>
            <w:instrText xml:space="preserve"> HYPERLINK \l "bookmark1" </w:instrText>
          </w:r>
          <w:r>
            <w:fldChar w:fldCharType="separate"/>
          </w:r>
          <w:r>
            <w:rPr>
              <w:rFonts w:asciiTheme="minorEastAsia" w:hAnsiTheme="minorEastAsia" w:eastAsiaTheme="minorEastAsia"/>
              <w:color w:val="auto"/>
              <w:spacing w:val="-1"/>
              <w:sz w:val="24"/>
              <w:lang w:eastAsia="zh-CN"/>
            </w:rPr>
            <w:t>三、课程结构与内容</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3"/>
              <w:sz w:val="24"/>
              <w:lang w:eastAsia="zh-CN"/>
            </w:rPr>
            <w:t>2</w:t>
          </w:r>
          <w:r>
            <w:rPr>
              <w:rFonts w:cs="Times New Roman" w:asciiTheme="minorEastAsia" w:hAnsiTheme="minorEastAsia" w:eastAsiaTheme="minorEastAsia"/>
              <w:color w:val="auto"/>
              <w:spacing w:val="23"/>
              <w:sz w:val="24"/>
              <w:lang w:eastAsia="zh-CN"/>
            </w:rPr>
            <w:fldChar w:fldCharType="end"/>
          </w:r>
        </w:p>
        <w:p>
          <w:pPr>
            <w:pStyle w:val="3"/>
            <w:tabs>
              <w:tab w:val="right" w:leader="dot" w:pos="7938"/>
            </w:tabs>
            <w:spacing w:line="360" w:lineRule="auto"/>
            <w:ind w:left="113"/>
            <w:jc w:val="both"/>
            <w:rPr>
              <w:rFonts w:cs="Times New Roman" w:asciiTheme="minorEastAsia" w:hAnsiTheme="minorEastAsia" w:eastAsiaTheme="minorEastAsia"/>
              <w:color w:val="auto"/>
              <w:sz w:val="24"/>
              <w:lang w:eastAsia="zh-CN"/>
            </w:rPr>
          </w:pPr>
          <w:r>
            <w:fldChar w:fldCharType="begin"/>
          </w:r>
          <w:r>
            <w:instrText xml:space="preserve"> HYPERLINK \l "bookmark1" </w:instrText>
          </w:r>
          <w:r>
            <w:fldChar w:fldCharType="separate"/>
          </w:r>
          <w:r>
            <w:rPr>
              <w:rFonts w:asciiTheme="minorEastAsia" w:hAnsiTheme="minorEastAsia" w:eastAsiaTheme="minorEastAsia"/>
              <w:color w:val="auto"/>
              <w:sz w:val="24"/>
              <w:lang w:eastAsia="zh-CN"/>
            </w:rPr>
            <w:t xml:space="preserve">（一）课程结构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5"/>
              <w:sz w:val="24"/>
              <w:lang w:eastAsia="zh-CN"/>
            </w:rPr>
            <w:t>2</w:t>
          </w:r>
          <w:r>
            <w:rPr>
              <w:rFonts w:cs="Times New Roman" w:asciiTheme="minorEastAsia" w:hAnsiTheme="minorEastAsia" w:eastAsiaTheme="minorEastAsia"/>
              <w:color w:val="auto"/>
              <w:spacing w:val="-5"/>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"bookmark6" </w:instrText>
          </w:r>
          <w:r>
            <w:fldChar w:fldCharType="separate"/>
          </w:r>
          <w:r>
            <w:rPr>
              <w:rFonts w:asciiTheme="minorEastAsia" w:hAnsiTheme="minorEastAsia" w:eastAsiaTheme="minorEastAsia"/>
              <w:color w:val="auto"/>
              <w:sz w:val="24"/>
              <w:lang w:eastAsia="zh-CN"/>
            </w:rPr>
            <w:t xml:space="preserve">（二）课程内容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9"/>
              <w:sz w:val="24"/>
              <w:lang w:eastAsia="zh-CN"/>
            </w:rPr>
            <w:t>3</w:t>
          </w:r>
          <w:r>
            <w:rPr>
              <w:rFonts w:cs="Times New Roman" w:asciiTheme="minorEastAsia" w:hAnsiTheme="minorEastAsia" w:eastAsiaTheme="minorEastAsia"/>
              <w:color w:val="auto"/>
              <w:spacing w:val="-9"/>
              <w:sz w:val="24"/>
              <w:lang w:eastAsia="zh-CN"/>
            </w:rPr>
            <w:fldChar w:fldCharType="end"/>
          </w:r>
        </w:p>
        <w:p>
          <w:pPr>
            <w:pStyle w:val="3"/>
            <w:tabs>
              <w:tab w:val="right" w:leader="dot" w:pos="7938"/>
            </w:tabs>
            <w:spacing w:line="360" w:lineRule="auto"/>
            <w:ind w:left="123"/>
            <w:jc w:val="both"/>
            <w:rPr>
              <w:rFonts w:cs="Times New Roman" w:asciiTheme="minorEastAsia" w:hAnsiTheme="minorEastAsia" w:eastAsiaTheme="minorEastAsia"/>
              <w:color w:val="auto"/>
              <w:sz w:val="24"/>
              <w:lang w:eastAsia="zh-CN"/>
            </w:rPr>
          </w:pPr>
          <w:r>
            <w:fldChar w:fldCharType="begin"/>
          </w:r>
          <w:r>
            <w:instrText xml:space="preserve"> HYPERLINK \l "bookmark7" </w:instrText>
          </w:r>
          <w:r>
            <w:fldChar w:fldCharType="separate"/>
          </w:r>
          <w:r>
            <w:rPr>
              <w:rFonts w:asciiTheme="minorEastAsia" w:hAnsiTheme="minorEastAsia" w:eastAsiaTheme="minorEastAsia"/>
              <w:color w:val="auto"/>
              <w:spacing w:val="-2"/>
              <w:sz w:val="24"/>
              <w:lang w:eastAsia="zh-CN"/>
            </w:rPr>
            <w:t>四、学生考核</w:t>
          </w:r>
          <w:bookmarkStart w:id="17" w:name="_GoBack"/>
          <w:bookmarkEnd w:id="17"/>
          <w:r>
            <w:rPr>
              <w:rFonts w:asciiTheme="minorEastAsia" w:hAnsiTheme="minorEastAsia" w:eastAsiaTheme="minorEastAsia"/>
              <w:color w:val="auto"/>
              <w:spacing w:val="-2"/>
              <w:sz w:val="24"/>
              <w:lang w:eastAsia="zh-CN"/>
            </w:rPr>
            <w:t>与评价</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3"/>
              <w:sz w:val="24"/>
              <w:lang w:eastAsia="zh-CN"/>
            </w:rPr>
            <w:t>4</w:t>
          </w:r>
          <w:r>
            <w:rPr>
              <w:rFonts w:cs="Times New Roman" w:asciiTheme="minorEastAsia" w:hAnsiTheme="minorEastAsia" w:eastAsiaTheme="minorEastAsia"/>
              <w:color w:val="auto"/>
              <w:spacing w:val="23"/>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"bookmark8" </w:instrText>
          </w:r>
          <w:r>
            <w:fldChar w:fldCharType="separate"/>
          </w:r>
          <w:r>
            <w:rPr>
              <w:rFonts w:asciiTheme="minorEastAsia" w:hAnsiTheme="minorEastAsia" w:eastAsiaTheme="minorEastAsia"/>
              <w:color w:val="auto"/>
              <w:sz w:val="24"/>
              <w:lang w:eastAsia="zh-CN"/>
            </w:rPr>
            <w:t xml:space="preserve">（一）评价原则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4"/>
              <w:sz w:val="24"/>
              <w:lang w:eastAsia="zh-CN"/>
            </w:rPr>
            <w:t>4</w:t>
          </w:r>
          <w:r>
            <w:rPr>
              <w:rFonts w:cs="Times New Roman" w:asciiTheme="minorEastAsia" w:hAnsiTheme="minorEastAsia" w:eastAsiaTheme="minorEastAsia"/>
              <w:color w:val="auto"/>
              <w:spacing w:val="-4"/>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"bookmark9" </w:instrText>
          </w:r>
          <w:r>
            <w:fldChar w:fldCharType="separate"/>
          </w:r>
          <w:r>
            <w:rPr>
              <w:rFonts w:asciiTheme="minorEastAsia" w:hAnsiTheme="minorEastAsia" w:eastAsiaTheme="minorEastAsia"/>
              <w:color w:val="auto"/>
              <w:sz w:val="24"/>
              <w:lang w:eastAsia="zh-CN"/>
            </w:rPr>
            <w:t xml:space="preserve">（二）评价方式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11"/>
              <w:sz w:val="24"/>
              <w:lang w:eastAsia="zh-CN"/>
            </w:rPr>
            <w:t>5</w:t>
          </w:r>
          <w:r>
            <w:rPr>
              <w:rFonts w:cs="Times New Roman" w:asciiTheme="minorEastAsia" w:hAnsiTheme="minorEastAsia" w:eastAsiaTheme="minorEastAsia"/>
              <w:color w:val="auto"/>
              <w:spacing w:val="-11"/>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"bookmark10" </w:instrText>
          </w:r>
          <w:r>
            <w:fldChar w:fldCharType="separate"/>
          </w:r>
          <w:r>
            <w:rPr>
              <w:rFonts w:asciiTheme="minorEastAsia" w:hAnsiTheme="minorEastAsia" w:eastAsiaTheme="minorEastAsia"/>
              <w:color w:val="auto"/>
              <w:sz w:val="24"/>
              <w:lang w:eastAsia="zh-CN"/>
            </w:rPr>
            <w:t xml:space="preserve">（三）评价结果运用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10"/>
              <w:sz w:val="24"/>
              <w:lang w:eastAsia="zh-CN"/>
            </w:rPr>
            <w:t>6</w:t>
          </w:r>
          <w:r>
            <w:rPr>
              <w:rFonts w:cs="Times New Roman" w:asciiTheme="minorEastAsia" w:hAnsiTheme="minorEastAsia" w:eastAsiaTheme="minorEastAsia"/>
              <w:color w:val="auto"/>
              <w:spacing w:val="-10"/>
              <w:sz w:val="24"/>
              <w:lang w:eastAsia="zh-CN"/>
            </w:rPr>
            <w:fldChar w:fldCharType="end"/>
          </w:r>
        </w:p>
        <w:p>
          <w:pPr>
            <w:pStyle w:val="3"/>
            <w:tabs>
              <w:tab w:val="right" w:leader="dot" w:pos="7938"/>
            </w:tabs>
            <w:spacing w:line="360" w:lineRule="auto"/>
            <w:ind w:left="111"/>
            <w:jc w:val="both"/>
            <w:rPr>
              <w:rFonts w:cs="Times New Roman" w:asciiTheme="minorEastAsia" w:hAnsiTheme="minorEastAsia" w:eastAsiaTheme="minorEastAsia"/>
              <w:color w:val="auto"/>
              <w:sz w:val="24"/>
              <w:lang w:eastAsia="zh-CN"/>
            </w:rPr>
          </w:pPr>
          <w:r>
            <w:fldChar w:fldCharType="begin"/>
          </w:r>
          <w:r>
            <w:instrText xml:space="preserve"> HYPERLINK \l "bookmark11" </w:instrText>
          </w:r>
          <w:r>
            <w:fldChar w:fldCharType="separate"/>
          </w:r>
          <w:r>
            <w:rPr>
              <w:rFonts w:asciiTheme="minorEastAsia" w:hAnsiTheme="minorEastAsia" w:eastAsiaTheme="minorEastAsia"/>
              <w:color w:val="auto"/>
              <w:spacing w:val="-1"/>
              <w:sz w:val="24"/>
              <w:lang w:eastAsia="zh-CN"/>
            </w:rPr>
            <w:t>五、课程实施与保障</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23"/>
              <w:sz w:val="24"/>
              <w:lang w:eastAsia="zh-CN"/>
            </w:rPr>
            <w:t>6</w:t>
          </w:r>
          <w:r>
            <w:rPr>
              <w:rFonts w:cs="Times New Roman" w:asciiTheme="minorEastAsia" w:hAnsiTheme="minorEastAsia" w:eastAsiaTheme="minorEastAsia"/>
              <w:color w:val="auto"/>
              <w:spacing w:val="23"/>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"bookmark12" </w:instrText>
          </w:r>
          <w:r>
            <w:fldChar w:fldCharType="separate"/>
          </w:r>
          <w:r>
            <w:rPr>
              <w:rFonts w:asciiTheme="minorEastAsia" w:hAnsiTheme="minorEastAsia" w:eastAsiaTheme="minorEastAsia"/>
              <w:color w:val="auto"/>
              <w:sz w:val="24"/>
              <w:lang w:eastAsia="zh-CN"/>
            </w:rPr>
            <w:t xml:space="preserve">（一）课程实施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10"/>
              <w:sz w:val="24"/>
              <w:lang w:eastAsia="zh-CN"/>
            </w:rPr>
            <w:t>6</w:t>
          </w:r>
          <w:r>
            <w:rPr>
              <w:rFonts w:cs="Times New Roman" w:asciiTheme="minorEastAsia" w:hAnsiTheme="minorEastAsia" w:eastAsiaTheme="minorEastAsia"/>
              <w:color w:val="auto"/>
              <w:spacing w:val="-10"/>
              <w:sz w:val="24"/>
              <w:lang w:eastAsia="zh-CN"/>
            </w:rPr>
            <w:fldChar w:fldCharType="end"/>
          </w:r>
        </w:p>
        <w:p>
          <w:pPr>
            <w:pStyle w:val="3"/>
            <w:tabs>
              <w:tab w:val="right" w:leader="dot" w:pos="7938"/>
            </w:tabs>
            <w:spacing w:line="360" w:lineRule="auto"/>
            <w:ind w:left="412"/>
            <w:jc w:val="both"/>
            <w:rPr>
              <w:rFonts w:cs="Times New Roman" w:asciiTheme="minorEastAsia" w:hAnsiTheme="minorEastAsia" w:eastAsiaTheme="minorEastAsia"/>
              <w:color w:val="auto"/>
              <w:sz w:val="24"/>
              <w:lang w:eastAsia="zh-CN"/>
            </w:rPr>
          </w:pPr>
          <w:r>
            <w:fldChar w:fldCharType="begin"/>
          </w:r>
          <w:r>
            <w:instrText xml:space="preserve"> HYPERLINK \l "bookmark13" </w:instrText>
          </w:r>
          <w:r>
            <w:fldChar w:fldCharType="separate"/>
          </w:r>
          <w:r>
            <w:rPr>
              <w:rFonts w:asciiTheme="minorEastAsia" w:hAnsiTheme="minorEastAsia" w:eastAsiaTheme="minorEastAsia"/>
              <w:color w:val="auto"/>
              <w:sz w:val="24"/>
              <w:lang w:eastAsia="zh-CN"/>
            </w:rPr>
            <w:t xml:space="preserve">（二）教学条件 </w:t>
          </w:r>
          <w:r>
            <w:rPr>
              <w:rFonts w:asciiTheme="minorEastAsia" w:hAnsiTheme="minorEastAsia" w:eastAsiaTheme="minorEastAsia"/>
              <w:color w:val="auto"/>
              <w:sz w:val="24"/>
              <w:lang w:eastAsia="zh-CN"/>
            </w:rPr>
            <w:tab/>
          </w:r>
          <w:r>
            <w:rPr>
              <w:rFonts w:cs="Times New Roman" w:asciiTheme="minorEastAsia" w:hAnsiTheme="minorEastAsia" w:eastAsiaTheme="minorEastAsia"/>
              <w:color w:val="auto"/>
              <w:spacing w:val="-8"/>
              <w:sz w:val="24"/>
              <w:lang w:eastAsia="zh-CN"/>
            </w:rPr>
            <w:t>7</w:t>
          </w:r>
          <w:r>
            <w:rPr>
              <w:rFonts w:cs="Times New Roman" w:asciiTheme="minorEastAsia" w:hAnsiTheme="minorEastAsia" w:eastAsiaTheme="minorEastAsia"/>
              <w:color w:val="auto"/>
              <w:spacing w:val="-8"/>
              <w:sz w:val="24"/>
              <w:lang w:eastAsia="zh-CN"/>
            </w:rPr>
            <w:fldChar w:fldCharType="end"/>
          </w:r>
        </w:p>
      </w:sdtContent>
    </w:sdt>
    <w:p>
      <w:pPr>
        <w:tabs>
          <w:tab w:val="right" w:leader="dot" w:pos="7938"/>
        </w:tabs>
        <w:spacing w:before="240" w:beforeLines="100" w:after="240" w:afterLines="100" w:line="192" w:lineRule="auto"/>
        <w:rPr>
          <w:rFonts w:cs="Times New Roman" w:asciiTheme="minorEastAsia" w:hAnsiTheme="minorEastAsia" w:eastAsiaTheme="minorEastAsia"/>
          <w:color w:val="auto"/>
          <w:sz w:val="24"/>
          <w:lang w:eastAsia="zh-CN"/>
        </w:rPr>
        <w:sectPr>
          <w:pgSz w:w="10820" w:h="15080"/>
          <w:pgMar w:top="1281" w:right="1295" w:bottom="0" w:left="1623" w:header="0" w:footer="0" w:gutter="0"/>
          <w:pgBorders>
            <w:top w:val="none" w:sz="0" w:space="0"/>
            <w:left w:val="none" w:sz="0" w:space="0"/>
            <w:bottom w:val="none" w:sz="0" w:space="0"/>
            <w:right w:val="none" w:sz="0" w:space="0"/>
          </w:pgBorders>
          <w:cols w:space="720" w:num="1"/>
        </w:sectPr>
      </w:pPr>
    </w:p>
    <w:p>
      <w:pPr>
        <w:pStyle w:val="3"/>
        <w:spacing w:before="120" w:beforeLines="50" w:after="120" w:afterLines="50" w:line="360" w:lineRule="auto"/>
        <w:ind w:left="6"/>
        <w:outlineLvl w:val="0"/>
        <w:rPr>
          <w:rFonts w:asciiTheme="minorEastAsia" w:hAnsiTheme="minorEastAsia" w:eastAsiaTheme="minorEastAsia"/>
          <w:color w:val="auto"/>
          <w:sz w:val="32"/>
          <w:szCs w:val="32"/>
          <w:lang w:eastAsia="zh-CN"/>
        </w:rPr>
      </w:pPr>
      <w:bookmarkStart w:id="0" w:name="bookmark2"/>
      <w:bookmarkEnd w:id="0"/>
      <w:bookmarkStart w:id="1" w:name="bookmark14"/>
      <w:bookmarkEnd w:id="1"/>
      <w:r>
        <w:rPr>
          <w:rFonts w:asciiTheme="minorEastAsia" w:hAnsiTheme="minorEastAsia" w:eastAsiaTheme="minorEastAsia"/>
          <w:color w:val="auto"/>
          <w:spacing w:val="-2"/>
          <w:sz w:val="32"/>
          <w:szCs w:val="32"/>
          <w:lang w:eastAsia="zh-CN"/>
        </w:rPr>
        <w:t>一、课程性质与任务</w:t>
      </w:r>
    </w:p>
    <w:p>
      <w:pPr>
        <w:pStyle w:val="3"/>
        <w:spacing w:before="120" w:beforeLines="50" w:after="120" w:afterLines="50" w:line="360" w:lineRule="auto"/>
        <w:ind w:left="272"/>
        <w:outlineLvl w:val="1"/>
        <w:rPr>
          <w:rFonts w:asciiTheme="minorEastAsia" w:hAnsiTheme="minorEastAsia" w:eastAsiaTheme="minorEastAsia"/>
          <w:color w:val="auto"/>
          <w:sz w:val="27"/>
          <w:szCs w:val="27"/>
          <w:lang w:eastAsia="zh-CN"/>
        </w:rPr>
      </w:pPr>
      <w:bookmarkStart w:id="2" w:name="bookmark3"/>
      <w:bookmarkEnd w:id="2"/>
      <w:r>
        <w:rPr>
          <w:rFonts w:asciiTheme="minorEastAsia" w:hAnsiTheme="minorEastAsia" w:eastAsiaTheme="minorEastAsia"/>
          <w:color w:val="auto"/>
          <w:spacing w:val="10"/>
          <w:sz w:val="27"/>
          <w:szCs w:val="27"/>
          <w:lang w:eastAsia="zh-CN"/>
        </w:rPr>
        <w:t>（一）课程性质</w:t>
      </w:r>
    </w:p>
    <w:p>
      <w:pPr>
        <w:pStyle w:val="3"/>
        <w:spacing w:before="120" w:beforeLines="50" w:after="120" w:afterLines="50" w:line="360" w:lineRule="auto"/>
        <w:ind w:firstLine="423"/>
        <w:jc w:val="both"/>
        <w:rPr>
          <w:rFonts w:asciiTheme="minorEastAsia" w:hAnsiTheme="minorEastAsia" w:eastAsiaTheme="minorEastAsia"/>
          <w:color w:val="auto"/>
          <w:lang w:eastAsia="zh-CN"/>
        </w:rPr>
      </w:pPr>
      <w:r>
        <w:rPr>
          <w:rFonts w:hint="eastAsia" w:asciiTheme="minorEastAsia" w:hAnsiTheme="minorEastAsia" w:eastAsiaTheme="minorEastAsia"/>
          <w:color w:val="auto"/>
          <w:spacing w:val="1"/>
          <w:lang w:eastAsia="zh-CN"/>
        </w:rPr>
        <w:t>　军事课是普通高等学校学生的必修课程。军事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asciiTheme="minorEastAsia" w:hAnsiTheme="minorEastAsia" w:eastAsiaTheme="minorEastAsia"/>
          <w:color w:val="auto"/>
          <w:spacing w:val="1"/>
          <w:lang w:eastAsia="zh-CN"/>
        </w:rPr>
        <w:t>主要内容包括</w:t>
      </w:r>
      <w:r>
        <w:rPr>
          <w:rFonts w:hint="eastAsia" w:asciiTheme="minorEastAsia" w:hAnsiTheme="minorEastAsia" w:eastAsiaTheme="minorEastAsia"/>
          <w:color w:val="auto"/>
          <w:spacing w:val="1"/>
          <w:lang w:eastAsia="zh-CN"/>
        </w:rPr>
        <w:t>中国国防、国家安全、军事思想、现代战争、信息化装备、共同条令教育、射击与战术、防卫技术与战时防护、战备基础与应用</w:t>
      </w:r>
      <w:r>
        <w:rPr>
          <w:rFonts w:hint="eastAsia" w:asciiTheme="minorEastAsia" w:hAnsiTheme="minorEastAsia" w:eastAsiaTheme="minorEastAsia"/>
          <w:color w:val="auto"/>
          <w:spacing w:val="1"/>
          <w:lang w:val="en-US" w:eastAsia="zh-CN"/>
        </w:rPr>
        <w:t>等</w:t>
      </w:r>
      <w:r>
        <w:rPr>
          <w:rFonts w:asciiTheme="minorEastAsia" w:hAnsiTheme="minorEastAsia" w:eastAsiaTheme="minorEastAsia"/>
          <w:color w:val="auto"/>
          <w:spacing w:val="-3"/>
          <w:lang w:eastAsia="zh-CN"/>
        </w:rPr>
        <w:t>。</w:t>
      </w:r>
    </w:p>
    <w:p>
      <w:pPr>
        <w:pStyle w:val="3"/>
        <w:spacing w:before="120" w:beforeLines="50" w:after="120" w:afterLines="50" w:line="360" w:lineRule="auto"/>
        <w:ind w:left="272"/>
        <w:outlineLvl w:val="1"/>
        <w:rPr>
          <w:rFonts w:asciiTheme="minorEastAsia" w:hAnsiTheme="minorEastAsia" w:eastAsiaTheme="minorEastAsia"/>
          <w:color w:val="auto"/>
          <w:spacing w:val="9"/>
          <w:sz w:val="27"/>
          <w:szCs w:val="27"/>
          <w:lang w:eastAsia="zh-CN"/>
        </w:rPr>
      </w:pPr>
      <w:bookmarkStart w:id="3" w:name="bookmark4"/>
      <w:bookmarkEnd w:id="3"/>
      <w:r>
        <w:rPr>
          <w:rFonts w:asciiTheme="minorEastAsia" w:hAnsiTheme="minorEastAsia" w:eastAsiaTheme="minorEastAsia"/>
          <w:color w:val="auto"/>
          <w:spacing w:val="9"/>
          <w:sz w:val="27"/>
          <w:szCs w:val="27"/>
          <w:lang w:eastAsia="zh-CN"/>
        </w:rPr>
        <w:t>（二）课程任务</w:t>
      </w:r>
    </w:p>
    <w:p>
      <w:pPr>
        <w:pStyle w:val="3"/>
        <w:spacing w:before="120" w:beforeLines="50" w:after="120" w:afterLines="50" w:line="360" w:lineRule="auto"/>
        <w:ind w:firstLine="423"/>
        <w:jc w:val="both"/>
        <w:rPr>
          <w:rFonts w:hint="eastAsia" w:asciiTheme="minorEastAsia" w:hAnsiTheme="minorEastAsia" w:eastAsiaTheme="minorEastAsia"/>
          <w:color w:val="auto"/>
          <w:spacing w:val="1"/>
          <w:lang w:eastAsia="zh-CN"/>
        </w:rPr>
      </w:pPr>
      <w:r>
        <w:rPr>
          <w:rFonts w:hint="eastAsia" w:asciiTheme="minorEastAsia" w:hAnsiTheme="minorEastAsia" w:eastAsiaTheme="minorEastAsia"/>
          <w:color w:val="auto"/>
          <w:spacing w:val="1"/>
          <w:lang w:eastAsia="zh-CN"/>
        </w:rPr>
        <w:t>本课程全面贯彻党的教育方针，落实立德树人根本任务，通过军事课教学，落实国防教育普及要求，营造崇军尚武、爱国拥军的校园氛围，让学生了解掌握军事基础知识和基本军事技能，增强国防观念、国家安全意识和忧患危机意识，弘扬爱国主义精神、传承红色基因、提高学生综合国防素质。</w:t>
      </w:r>
    </w:p>
    <w:p>
      <w:pPr>
        <w:pStyle w:val="3"/>
        <w:spacing w:before="120" w:beforeLines="50" w:after="120" w:afterLines="50" w:line="360" w:lineRule="auto"/>
        <w:ind w:left="12"/>
        <w:outlineLvl w:val="0"/>
        <w:rPr>
          <w:rFonts w:asciiTheme="minorEastAsia" w:hAnsiTheme="minorEastAsia" w:eastAsiaTheme="minorEastAsia"/>
          <w:color w:val="auto"/>
          <w:sz w:val="32"/>
          <w:szCs w:val="32"/>
          <w:lang w:eastAsia="zh-CN"/>
        </w:rPr>
      </w:pPr>
      <w:bookmarkStart w:id="4" w:name="bookmark5"/>
      <w:bookmarkEnd w:id="4"/>
      <w:r>
        <w:rPr>
          <w:rFonts w:asciiTheme="minorEastAsia" w:hAnsiTheme="minorEastAsia" w:eastAsiaTheme="minorEastAsia"/>
          <w:color w:val="auto"/>
          <w:spacing w:val="-2"/>
          <w:sz w:val="32"/>
          <w:szCs w:val="32"/>
          <w:lang w:eastAsia="zh-CN"/>
        </w:rPr>
        <w:t>二、课程目标与要求</w:t>
      </w:r>
    </w:p>
    <w:p>
      <w:pPr>
        <w:pStyle w:val="3"/>
        <w:spacing w:before="120" w:beforeLines="50" w:after="120" w:afterLines="50" w:line="360" w:lineRule="auto"/>
        <w:ind w:left="3" w:firstLine="423"/>
        <w:rPr>
          <w:rFonts w:asciiTheme="minorEastAsia" w:hAnsiTheme="minorEastAsia" w:eastAsiaTheme="minorEastAsia"/>
          <w:color w:val="auto"/>
          <w:spacing w:val="-3"/>
          <w:lang w:eastAsia="zh-CN"/>
        </w:rPr>
      </w:pPr>
      <w:r>
        <w:rPr>
          <w:rFonts w:hint="eastAsia" w:asciiTheme="minorEastAsia" w:hAnsiTheme="minorEastAsia" w:eastAsiaTheme="minorEastAsia"/>
          <w:color w:val="auto"/>
          <w:spacing w:val="6"/>
          <w:lang w:eastAsia="zh-CN"/>
        </w:rPr>
        <w:t>军事课纳入普通高等学校人才培养体系，列入学校人才培养方案和教学计划，实行学分制管理，课程考核成绩记入学籍档案。</w:t>
      </w:r>
      <w:r>
        <w:rPr>
          <w:rFonts w:asciiTheme="minorEastAsia" w:hAnsiTheme="minorEastAsia" w:eastAsiaTheme="minorEastAsia"/>
          <w:color w:val="auto"/>
          <w:spacing w:val="6"/>
          <w:lang w:eastAsia="zh-CN"/>
        </w:rPr>
        <w:t>通</w:t>
      </w:r>
      <w:r>
        <w:rPr>
          <w:rFonts w:asciiTheme="minorEastAsia" w:hAnsiTheme="minorEastAsia" w:eastAsiaTheme="minorEastAsia"/>
          <w:color w:val="auto"/>
          <w:spacing w:val="5"/>
          <w:lang w:eastAsia="zh-CN"/>
        </w:rPr>
        <w:t>过系统的理论学习、实践训练和综合应</w:t>
      </w:r>
      <w:r>
        <w:rPr>
          <w:rFonts w:asciiTheme="minorEastAsia" w:hAnsiTheme="minorEastAsia" w:eastAsiaTheme="minorEastAsia"/>
          <w:color w:val="auto"/>
          <w:spacing w:val="-3"/>
          <w:lang w:eastAsia="zh-CN"/>
        </w:rPr>
        <w:t>用，应达到以下目标与要求。</w:t>
      </w:r>
    </w:p>
    <w:p>
      <w:pPr>
        <w:pStyle w:val="3"/>
        <w:spacing w:before="120" w:beforeLines="50" w:after="120" w:afterLines="50" w:line="360" w:lineRule="auto"/>
        <w:ind w:left="3" w:firstLine="423"/>
        <w:rPr>
          <w:rFonts w:hint="eastAsia" w:asciiTheme="minorEastAsia" w:hAnsiTheme="minorEastAsia" w:eastAsiaTheme="minorEastAsia"/>
          <w:color w:val="auto"/>
          <w:spacing w:val="6"/>
          <w:lang w:eastAsia="zh-CN"/>
        </w:rPr>
      </w:pPr>
      <w:r>
        <w:rPr>
          <w:rFonts w:hint="eastAsia" w:asciiTheme="minorEastAsia" w:hAnsiTheme="minorEastAsia" w:eastAsiaTheme="minorEastAsia"/>
          <w:color w:val="auto"/>
          <w:spacing w:val="6"/>
          <w:lang w:eastAsia="zh-CN"/>
        </w:rPr>
        <w:t>使学生认清国防与国家安危、民族荣辱之间的密切关系，增强其国防观念和国家安全意识；</w:t>
      </w:r>
    </w:p>
    <w:p>
      <w:pPr>
        <w:pStyle w:val="3"/>
        <w:spacing w:before="120" w:beforeLines="50" w:after="120" w:afterLines="50" w:line="360" w:lineRule="auto"/>
        <w:ind w:left="3" w:firstLine="423"/>
        <w:rPr>
          <w:rFonts w:hint="eastAsia" w:asciiTheme="minorEastAsia" w:hAnsiTheme="minorEastAsia" w:eastAsiaTheme="minorEastAsia"/>
          <w:color w:val="auto"/>
          <w:spacing w:val="6"/>
          <w:lang w:eastAsia="zh-CN"/>
        </w:rPr>
      </w:pPr>
      <w:r>
        <w:rPr>
          <w:rFonts w:hint="eastAsia" w:asciiTheme="minorEastAsia" w:hAnsiTheme="minorEastAsia" w:eastAsiaTheme="minorEastAsia"/>
          <w:color w:val="auto"/>
          <w:spacing w:val="6"/>
          <w:lang w:eastAsia="zh-CN"/>
        </w:rPr>
        <w:t>了解我国源远流长的军事思想和党在领导国防与军队现代化建设以及军事斗争准备的伟大实践中所形成的既一脉相承又与时俱进的军事理论体系，树立科学的战争观和指导战争的方法论；</w:t>
      </w:r>
    </w:p>
    <w:p>
      <w:pPr>
        <w:pStyle w:val="3"/>
        <w:spacing w:before="120" w:beforeLines="50" w:after="120" w:afterLines="50" w:line="360" w:lineRule="auto"/>
        <w:ind w:left="3" w:firstLine="423"/>
        <w:rPr>
          <w:rFonts w:hint="eastAsia" w:asciiTheme="minorEastAsia" w:hAnsiTheme="minorEastAsia" w:eastAsiaTheme="minorEastAsia"/>
          <w:color w:val="auto"/>
          <w:spacing w:val="6"/>
          <w:lang w:eastAsia="zh-CN"/>
        </w:rPr>
      </w:pPr>
      <w:r>
        <w:rPr>
          <w:rFonts w:hint="eastAsia" w:asciiTheme="minorEastAsia" w:hAnsiTheme="minorEastAsia" w:eastAsiaTheme="minorEastAsia"/>
          <w:color w:val="auto"/>
          <w:spacing w:val="6"/>
          <w:lang w:eastAsia="zh-CN"/>
        </w:rPr>
        <w:t>关注国际形势的风云变幻及其对我国国防安全构成的威胁与挑战，进一步增强广大青年学生建设国防的责任感、使命感和紧迫感；</w:t>
      </w:r>
    </w:p>
    <w:p>
      <w:pPr>
        <w:pStyle w:val="3"/>
        <w:spacing w:before="120" w:beforeLines="50" w:after="120" w:afterLines="50" w:line="360" w:lineRule="auto"/>
        <w:ind w:left="3" w:firstLine="423"/>
        <w:rPr>
          <w:rFonts w:hint="eastAsia" w:asciiTheme="minorEastAsia" w:hAnsiTheme="minorEastAsia" w:eastAsiaTheme="minorEastAsia"/>
          <w:color w:val="auto"/>
          <w:spacing w:val="6"/>
          <w:lang w:eastAsia="zh-CN"/>
        </w:rPr>
      </w:pPr>
      <w:r>
        <w:rPr>
          <w:rFonts w:hint="eastAsia" w:asciiTheme="minorEastAsia" w:hAnsiTheme="minorEastAsia" w:eastAsiaTheme="minorEastAsia"/>
          <w:color w:val="auto"/>
          <w:spacing w:val="6"/>
          <w:lang w:eastAsia="zh-CN"/>
        </w:rPr>
        <w:t>把握军事高技术在军事应用领域的发展趋势及其对现代战争的影响，激发青年学生学习科学文化知识的热情，最终使他们形成热爱国防、关心国防、支持国防、献身国防的爱国主义精神，为实现中华民族伟大复兴努力奋斗。</w:t>
      </w:r>
    </w:p>
    <w:p>
      <w:pPr>
        <w:pStyle w:val="3"/>
        <w:spacing w:before="120" w:beforeLines="50" w:after="120" w:afterLines="50" w:line="360" w:lineRule="auto"/>
        <w:ind w:right="2"/>
        <w:rPr>
          <w:rFonts w:asciiTheme="minorEastAsia" w:hAnsiTheme="minorEastAsia" w:eastAsiaTheme="minorEastAsia"/>
          <w:color w:val="auto"/>
          <w:lang w:eastAsia="zh-CN"/>
        </w:rPr>
      </w:pPr>
    </w:p>
    <w:p>
      <w:pPr>
        <w:pStyle w:val="3"/>
        <w:spacing w:before="120" w:beforeLines="50" w:after="120" w:afterLines="50" w:line="360" w:lineRule="auto"/>
        <w:ind w:left="10"/>
        <w:outlineLvl w:val="0"/>
        <w:rPr>
          <w:rFonts w:asciiTheme="minorEastAsia" w:hAnsiTheme="minorEastAsia" w:eastAsiaTheme="minorEastAsia"/>
          <w:color w:val="auto"/>
          <w:sz w:val="32"/>
          <w:szCs w:val="32"/>
          <w:lang w:eastAsia="zh-CN"/>
        </w:rPr>
      </w:pPr>
      <w:bookmarkStart w:id="5" w:name="bookmark15"/>
      <w:bookmarkEnd w:id="5"/>
      <w:r>
        <w:rPr>
          <w:rFonts w:asciiTheme="minorEastAsia" w:hAnsiTheme="minorEastAsia" w:eastAsiaTheme="minorEastAsia"/>
          <w:color w:val="auto"/>
          <w:spacing w:val="-2"/>
          <w:sz w:val="32"/>
          <w:szCs w:val="32"/>
          <w:lang w:eastAsia="zh-CN"/>
        </w:rPr>
        <w:t>三、课程结构与内容</w:t>
      </w:r>
    </w:p>
    <w:p>
      <w:pPr>
        <w:pStyle w:val="3"/>
        <w:spacing w:before="120" w:beforeLines="50" w:after="120" w:afterLines="50" w:line="360" w:lineRule="auto"/>
        <w:ind w:left="272"/>
        <w:outlineLvl w:val="1"/>
        <w:rPr>
          <w:rFonts w:asciiTheme="minorEastAsia" w:hAnsiTheme="minorEastAsia" w:eastAsiaTheme="minorEastAsia"/>
          <w:color w:val="auto"/>
          <w:sz w:val="27"/>
          <w:szCs w:val="27"/>
          <w:lang w:eastAsia="zh-CN"/>
        </w:rPr>
      </w:pPr>
      <w:bookmarkStart w:id="6" w:name="bookmark1"/>
      <w:bookmarkEnd w:id="6"/>
      <w:r>
        <w:rPr>
          <w:rFonts w:asciiTheme="minorEastAsia" w:hAnsiTheme="minorEastAsia" w:eastAsiaTheme="minorEastAsia"/>
          <w:color w:val="auto"/>
          <w:spacing w:val="9"/>
          <w:sz w:val="27"/>
          <w:szCs w:val="27"/>
          <w:lang w:eastAsia="zh-CN"/>
        </w:rPr>
        <w:t>（一）课程结构</w:t>
      </w:r>
    </w:p>
    <w:p>
      <w:pPr>
        <w:pStyle w:val="3"/>
        <w:spacing w:before="120" w:beforeLines="50" w:after="120" w:afterLines="50" w:line="360" w:lineRule="auto"/>
        <w:ind w:left="5" w:firstLine="421"/>
        <w:rPr>
          <w:rFonts w:asciiTheme="minorEastAsia" w:hAnsiTheme="minorEastAsia" w:eastAsiaTheme="minorEastAsia"/>
          <w:color w:val="auto"/>
          <w:lang w:eastAsia="zh-CN"/>
        </w:rPr>
      </w:pPr>
      <w:r>
        <w:rPr>
          <w:rFonts w:asciiTheme="minorEastAsia" w:hAnsiTheme="minorEastAsia" w:eastAsiaTheme="minorEastAsia"/>
          <w:color w:val="auto"/>
          <w:lang w:eastAsia="zh-CN"/>
        </w:rPr>
        <w:t>本课程由</w:t>
      </w:r>
      <w:r>
        <w:rPr>
          <w:rFonts w:cs="Times New Roman" w:asciiTheme="minorEastAsia" w:hAnsiTheme="minorEastAsia" w:eastAsiaTheme="minorEastAsia"/>
          <w:color w:val="auto"/>
          <w:lang w:eastAsia="zh-CN"/>
        </w:rPr>
        <w:t>9</w:t>
      </w:r>
      <w:r>
        <w:rPr>
          <w:rFonts w:asciiTheme="minorEastAsia" w:hAnsiTheme="minorEastAsia" w:eastAsiaTheme="minorEastAsia"/>
          <w:color w:val="auto"/>
          <w:lang w:eastAsia="zh-CN"/>
        </w:rPr>
        <w:t>个教学单元构成，包括</w:t>
      </w:r>
      <w:r>
        <w:rPr>
          <w:rFonts w:hint="eastAsia" w:asciiTheme="minorEastAsia" w:hAnsiTheme="minorEastAsia" w:eastAsiaTheme="minorEastAsia"/>
          <w:color w:val="auto"/>
          <w:spacing w:val="1"/>
          <w:lang w:eastAsia="zh-CN"/>
        </w:rPr>
        <w:t>中国国防、国家安全、军事思想、现代战争、信息化装备、共同条令教育、射击与战术、防卫技术与战时防护、战备基础与应用</w:t>
      </w:r>
      <w:r>
        <w:rPr>
          <w:rFonts w:asciiTheme="minorEastAsia" w:hAnsiTheme="minorEastAsia" w:eastAsiaTheme="minorEastAsia"/>
          <w:color w:val="auto"/>
          <w:spacing w:val="-1"/>
          <w:lang w:eastAsia="zh-CN"/>
        </w:rPr>
        <w:t>。</w:t>
      </w:r>
    </w:p>
    <w:p>
      <w:pPr>
        <w:pStyle w:val="3"/>
        <w:spacing w:before="120" w:beforeLines="50" w:after="120" w:afterLines="50" w:line="360" w:lineRule="auto"/>
        <w:ind w:left="3" w:firstLine="423"/>
        <w:rPr>
          <w:rFonts w:asciiTheme="minorEastAsia" w:hAnsiTheme="minorEastAsia" w:eastAsiaTheme="minorEastAsia"/>
          <w:color w:val="auto"/>
          <w:spacing w:val="-1"/>
          <w:lang w:eastAsia="zh-CN"/>
        </w:rPr>
      </w:pPr>
      <w:r>
        <w:rPr>
          <w:rFonts w:asciiTheme="minorEastAsia" w:hAnsiTheme="minorEastAsia" w:eastAsiaTheme="minorEastAsia"/>
          <w:color w:val="auto"/>
          <w:spacing w:val="3"/>
          <w:lang w:eastAsia="zh-CN"/>
        </w:rPr>
        <w:t>本课程主要内容及参考学时如下，其中加</w:t>
      </w:r>
      <w:r>
        <w:rPr>
          <w:rFonts w:cs="Times New Roman" w:asciiTheme="minorEastAsia" w:hAnsiTheme="minorEastAsia" w:eastAsiaTheme="minorEastAsia"/>
          <w:color w:val="auto"/>
          <w:spacing w:val="3"/>
          <w:lang w:eastAsia="zh-CN"/>
        </w:rPr>
        <w:t>*</w:t>
      </w:r>
      <w:r>
        <w:rPr>
          <w:rFonts w:asciiTheme="minorEastAsia" w:hAnsiTheme="minorEastAsia" w:eastAsiaTheme="minorEastAsia"/>
          <w:color w:val="auto"/>
          <w:spacing w:val="3"/>
          <w:lang w:eastAsia="zh-CN"/>
        </w:rPr>
        <w:t>号内容为</w:t>
      </w:r>
      <w:r>
        <w:rPr>
          <w:rFonts w:hint="eastAsia" w:asciiTheme="minorEastAsia" w:hAnsiTheme="minorEastAsia" w:eastAsiaTheme="minorEastAsia"/>
          <w:color w:val="auto"/>
          <w:spacing w:val="3"/>
          <w:lang w:val="en-US" w:eastAsia="zh-CN"/>
        </w:rPr>
        <w:t>必讲课目</w:t>
      </w:r>
      <w:r>
        <w:rPr>
          <w:rFonts w:asciiTheme="minorEastAsia" w:hAnsiTheme="minorEastAsia" w:eastAsiaTheme="minorEastAsia"/>
          <w:color w:val="auto"/>
          <w:spacing w:val="3"/>
          <w:lang w:eastAsia="zh-CN"/>
        </w:rPr>
        <w:t>。各学校可结合教学实际情</w:t>
      </w:r>
      <w:r>
        <w:rPr>
          <w:rFonts w:asciiTheme="minorEastAsia" w:hAnsiTheme="minorEastAsia" w:eastAsiaTheme="minorEastAsia"/>
          <w:color w:val="auto"/>
          <w:spacing w:val="-1"/>
          <w:lang w:eastAsia="zh-CN"/>
        </w:rPr>
        <w:t>况，在保障课程目标达成的前提下，灵活分配各教学内容的学时数。</w:t>
      </w:r>
    </w:p>
    <w:tbl>
      <w:tblPr>
        <w:tblStyle w:val="8"/>
        <w:tblpPr w:leftFromText="180" w:rightFromText="180" w:vertAnchor="text" w:horzAnchor="page" w:tblpX="1314" w:tblpY="525"/>
        <w:tblOverlap w:val="never"/>
        <w:tblW w:w="5138" w:type="pct"/>
        <w:tblInd w:w="0" w:type="dxa"/>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Layout w:type="autofit"/>
        <w:tblCellMar>
          <w:top w:w="0" w:type="dxa"/>
          <w:left w:w="38" w:type="dxa"/>
          <w:bottom w:w="0" w:type="dxa"/>
          <w:right w:w="38" w:type="dxa"/>
        </w:tblCellMar>
      </w:tblPr>
      <w:tblGrid>
        <w:gridCol w:w="1232"/>
        <w:gridCol w:w="7"/>
        <w:gridCol w:w="1575"/>
        <w:gridCol w:w="4262"/>
        <w:gridCol w:w="1390"/>
      </w:tblGrid>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4178" w:type="pct"/>
            <w:gridSpan w:val="4"/>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教学内容</w:t>
            </w:r>
          </w:p>
        </w:tc>
        <w:tc>
          <w:tcPr>
            <w:tcW w:w="821"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建议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学时</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Times New Roman" w:hAnsi="Times New Roman" w:eastAsia="宋体" w:cs="Times New Roman"/>
                <w:b/>
                <w:bCs/>
                <w:kern w:val="0"/>
                <w:sz w:val="21"/>
                <w:szCs w:val="21"/>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bCs/>
                <w:kern w:val="0"/>
                <w:sz w:val="21"/>
                <w:szCs w:val="21"/>
                <w:lang w:val="en-US" w:eastAsia="zh-CN" w:bidi="ar"/>
              </w:rPr>
              <w:t>中国国防</w:t>
            </w: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国防概述</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国防的内涵、国防类型、国防历史与启示、现代国防观</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default" w:ascii="Times New Roman" w:hAnsi="Times New Roman" w:eastAsia="宋体" w:cs="Times New Roman"/>
                <w:kern w:val="0"/>
                <w:sz w:val="21"/>
                <w:szCs w:val="21"/>
                <w:lang w:val="en-US" w:eastAsia="zh-CN" w:bidi="ar"/>
              </w:rPr>
              <w:t>10</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国防法规</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国防法规体系、公民的国防权利与义务</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国防建设</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国防体制、国防战略、国防政策、国防成就、军民融合</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武装力量</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中国武装力量性质、宗旨、使命及武装力量构成，人民军队的发展历程</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国防动员</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国防动员内涵、国防动员主要内容及意义</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b/>
                <w:bCs/>
                <w:kern w:val="0"/>
                <w:sz w:val="21"/>
                <w:szCs w:val="21"/>
                <w:lang w:val="en-US" w:eastAsia="zh-CN" w:bidi="ar"/>
              </w:rPr>
              <w:t>国家安全</w:t>
            </w: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210"/>
              <w:jc w:val="left"/>
            </w:pPr>
            <w:r>
              <w:rPr>
                <w:rFonts w:hint="eastAsia" w:ascii="宋体" w:hAnsi="宋体" w:eastAsia="宋体" w:cs="宋体"/>
                <w:kern w:val="0"/>
                <w:sz w:val="21"/>
                <w:szCs w:val="21"/>
                <w:lang w:val="en-US" w:eastAsia="zh-CN" w:bidi="ar"/>
              </w:rPr>
              <w:t>国家安全概述</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国家安全的内涵、原则、总体安全观</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pPr>
            <w:r>
              <w:rPr>
                <w:rFonts w:hint="default" w:ascii="Times New Roman" w:hAnsi="Times New Roman" w:eastAsia="宋体" w:cs="Times New Roman"/>
                <w:kern w:val="0"/>
                <w:sz w:val="21"/>
                <w:szCs w:val="21"/>
                <w:lang w:val="en-US" w:eastAsia="zh-CN" w:bidi="ar"/>
              </w:rPr>
              <w:t>8</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国家安全形势</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我国地缘环境基本概况、地缘安全、新形势下的国家安全、新兴领域的国家安全</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国际战略形势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Times New Roman" w:hAnsi="Times New Roman" w:eastAsia="宋体" w:cs="Times New Roman"/>
                <w:kern w:val="0"/>
                <w:sz w:val="21"/>
                <w:szCs w:val="21"/>
                <w:lang w:val="en-US" w:eastAsia="zh-CN" w:bidi="ar"/>
              </w:rPr>
              <w:t> </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国际战略形势现状与发展趋势、世界主要国家军事力量及战略动向</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b/>
                <w:bCs/>
                <w:kern w:val="0"/>
                <w:sz w:val="21"/>
                <w:szCs w:val="21"/>
                <w:lang w:val="en-US" w:eastAsia="zh-CN" w:bidi="ar"/>
              </w:rPr>
              <w:t>军事思想</w:t>
            </w: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军事思想概述</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军事思想的内涵、发展历程以及地位作用</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pPr>
            <w:r>
              <w:rPr>
                <w:rFonts w:hint="default" w:ascii="Times New Roman" w:hAnsi="Times New Roman" w:eastAsia="宋体" w:cs="Times New Roman"/>
                <w:kern w:val="0"/>
                <w:sz w:val="21"/>
                <w:szCs w:val="21"/>
                <w:lang w:val="en-US" w:eastAsia="zh-CN" w:bidi="ar"/>
              </w:rPr>
              <w:t>6</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210"/>
              <w:jc w:val="left"/>
            </w:pPr>
            <w:r>
              <w:rPr>
                <w:rFonts w:hint="eastAsia" w:ascii="宋体" w:hAnsi="宋体" w:eastAsia="宋体" w:cs="宋体"/>
                <w:kern w:val="0"/>
                <w:sz w:val="21"/>
                <w:szCs w:val="21"/>
                <w:lang w:val="en-US" w:eastAsia="zh-CN" w:bidi="ar"/>
              </w:rPr>
              <w:t>外国军事思想</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外国军事思想的主要内容、特点以及代表性著作</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中国古代军事思想</w:t>
            </w:r>
          </w:p>
        </w:tc>
        <w:tc>
          <w:tcPr>
            <w:tcW w:w="2516" w:type="pct"/>
            <w:tcBorders>
              <w:tl2br w:val="nil"/>
              <w:tr2bl w:val="nil"/>
            </w:tcBorders>
            <w:noWrap w:val="0"/>
            <w:tcMar>
              <w:top w:w="85" w:type="dxa"/>
              <w:left w:w="0" w:type="dxa"/>
              <w:bottom w:w="85" w:type="dxa"/>
              <w:right w:w="0" w:type="dxa"/>
            </w:tcMar>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tLeast"/>
              <w:ind w:left="0" w:right="0"/>
              <w:jc w:val="both"/>
            </w:pPr>
            <w:r>
              <w:rPr>
                <w:rFonts w:hint="eastAsia" w:ascii="宋体" w:hAnsi="宋体" w:eastAsia="宋体" w:cs="宋体"/>
                <w:sz w:val="21"/>
                <w:szCs w:val="21"/>
                <w:shd w:val="clear" w:color="auto" w:fill="FFFFFF"/>
              </w:rPr>
              <w:t>中国古代军事思想的主要内容、特点以及代表性著作</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当代中国军事思想</w:t>
            </w:r>
          </w:p>
        </w:tc>
        <w:tc>
          <w:tcPr>
            <w:tcW w:w="2516" w:type="pct"/>
            <w:tcBorders>
              <w:tl2br w:val="nil"/>
              <w:tr2bl w:val="nil"/>
            </w:tcBorders>
            <w:noWrap w:val="0"/>
            <w:tcMar>
              <w:top w:w="85" w:type="dxa"/>
              <w:left w:w="0" w:type="dxa"/>
              <w:bottom w:w="85" w:type="dxa"/>
              <w:right w:w="0" w:type="dxa"/>
            </w:tcMar>
            <w:vAlign w:val="center"/>
          </w:tcPr>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0" w:lineRule="atLeast"/>
              <w:ind w:left="0" w:right="0"/>
              <w:jc w:val="both"/>
            </w:pPr>
            <w:r>
              <w:rPr>
                <w:rFonts w:hint="eastAsia" w:ascii="宋体" w:hAnsi="宋体" w:eastAsia="宋体" w:cs="宋体"/>
                <w:sz w:val="21"/>
                <w:szCs w:val="21"/>
                <w:shd w:val="clear" w:color="auto" w:fill="FFFFFF"/>
              </w:rPr>
              <w:t>毛泽东军事思想、邓小平新时期军队建设思想、江泽民国防和军队建设思想、胡锦涛国防和军队建设思想、习近平强军思想</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pPr>
            <w:r>
              <w:rPr>
                <w:rFonts w:hint="eastAsia" w:ascii="宋体" w:hAnsi="宋体" w:eastAsia="宋体" w:cs="宋体"/>
                <w:b/>
                <w:bCs/>
                <w:kern w:val="0"/>
                <w:sz w:val="21"/>
                <w:szCs w:val="21"/>
                <w:lang w:val="en-US" w:eastAsia="zh-CN" w:bidi="ar"/>
              </w:rPr>
              <w:t>现代战争</w:t>
            </w: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210"/>
              <w:jc w:val="left"/>
            </w:pPr>
            <w:r>
              <w:rPr>
                <w:rFonts w:hint="eastAsia" w:ascii="宋体" w:hAnsi="宋体" w:eastAsia="宋体" w:cs="宋体"/>
                <w:kern w:val="0"/>
                <w:sz w:val="21"/>
                <w:szCs w:val="21"/>
                <w:lang w:val="en-US" w:eastAsia="zh-CN" w:bidi="ar"/>
              </w:rPr>
              <w:t>战争概述</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战争的内涵、特点、发展的历程</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pPr>
            <w:r>
              <w:rPr>
                <w:rFonts w:hint="default" w:ascii="Times New Roman" w:hAnsi="Times New Roman" w:eastAsia="宋体" w:cs="Times New Roman"/>
                <w:kern w:val="0"/>
                <w:sz w:val="21"/>
                <w:szCs w:val="21"/>
                <w:lang w:val="en-US" w:eastAsia="zh-CN" w:bidi="ar"/>
              </w:rPr>
              <w:t>6</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新军事革命</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新军事革命的内涵、发展演变、主要内容</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机械化战争</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机械化战争的基本内涵、主要形态、特征和代表性战例</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信息化战争</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信息化战争的基本内涵、主要形态、特征、代表性战例，战争形态发展趋势</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pPr>
            <w:r>
              <w:rPr>
                <w:rFonts w:hint="eastAsia" w:ascii="宋体" w:hAnsi="宋体" w:eastAsia="宋体" w:cs="宋体"/>
                <w:b/>
                <w:bCs/>
                <w:kern w:val="0"/>
                <w:sz w:val="21"/>
                <w:szCs w:val="21"/>
                <w:lang w:val="en-US" w:eastAsia="zh-CN" w:bidi="ar"/>
              </w:rPr>
              <w:t>信息化装备</w:t>
            </w: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210"/>
              <w:jc w:val="left"/>
            </w:pPr>
            <w:r>
              <w:rPr>
                <w:rFonts w:hint="eastAsia" w:ascii="宋体" w:hAnsi="宋体" w:eastAsia="宋体" w:cs="宋体"/>
                <w:kern w:val="0"/>
                <w:sz w:val="21"/>
                <w:szCs w:val="21"/>
                <w:lang w:val="en-US" w:eastAsia="zh-CN" w:bidi="ar"/>
              </w:rPr>
              <w:t>信息化装备概述</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信息化装备的内涵、分类、对现代作战的影响以及发展趋势</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pPr>
            <w:r>
              <w:rPr>
                <w:rFonts w:hint="default" w:ascii="Times New Roman" w:hAnsi="Times New Roman" w:eastAsia="宋体" w:cs="Times New Roman"/>
                <w:kern w:val="0"/>
                <w:sz w:val="21"/>
                <w:szCs w:val="21"/>
                <w:lang w:val="en-US" w:eastAsia="zh-CN" w:bidi="ar"/>
              </w:rPr>
              <w:t>6</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Symbol" w:hAnsi="Symbol" w:eastAsia="宋体" w:cs="Symbol"/>
                <w:kern w:val="0"/>
                <w:sz w:val="21"/>
                <w:szCs w:val="21"/>
                <w:lang w:val="en-US" w:eastAsia="zh-CN" w:bidi="ar"/>
              </w:rPr>
              <w:t>*</w:t>
            </w: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信息化作战平台</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各国主战飞机、坦克、军舰等信息武器装备发展趋势、战例应用</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综合电子信息系统</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1"/>
                <w:szCs w:val="21"/>
                <w:lang w:val="en-US" w:eastAsia="zh-CN" w:bidi="ar"/>
              </w:rPr>
              <w:t>指挥控制系统、预警系统、导航系统等装备电子信息系统发展趋势、战例应用</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28"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34" w:type="pct"/>
            <w:gridSpan w:val="2"/>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default" w:ascii="Times New Roman" w:hAnsi="Times New Roman" w:eastAsia="宋体" w:cs="Times New Roman"/>
                <w:kern w:val="0"/>
                <w:sz w:val="21"/>
                <w:szCs w:val="21"/>
                <w:lang w:val="en-US" w:eastAsia="zh-CN" w:bidi="ar"/>
              </w:rPr>
              <w:t> </w:t>
            </w:r>
            <w:r>
              <w:rPr>
                <w:rFonts w:hint="eastAsia" w:ascii="宋体" w:hAnsi="宋体" w:eastAsia="宋体" w:cs="宋体"/>
                <w:kern w:val="0"/>
                <w:sz w:val="21"/>
                <w:szCs w:val="21"/>
                <w:lang w:val="en-US" w:eastAsia="zh-CN" w:bidi="ar"/>
              </w:rPr>
              <w:t>信息化杀伤武器</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left"/>
            </w:pPr>
            <w:r>
              <w:rPr>
                <w:rFonts w:hint="eastAsia" w:ascii="宋体" w:hAnsi="宋体" w:eastAsia="宋体" w:cs="宋体"/>
                <w:kern w:val="0"/>
                <w:sz w:val="22"/>
                <w:szCs w:val="22"/>
                <w:lang w:val="en-US" w:eastAsia="zh-CN" w:bidi="ar"/>
              </w:rPr>
              <w:t>新概念、精确制导、核生化武器装备等武器装备发展趋势、战例应用</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共同条令教育与训练</w:t>
            </w: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共同条令教育</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《内务条令》《纪律条令》《队列条令》教育</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Calibri" w:hAnsi="Calibri" w:eastAsia="宋体" w:cs="Times New Roman"/>
                <w:kern w:val="0"/>
                <w:sz w:val="24"/>
                <w:szCs w:val="24"/>
                <w:lang w:val="en-US" w:eastAsia="zh-CN" w:bidi="ar"/>
              </w:rPr>
              <w:t>40—56</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分队的队列动作</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集合、离散，整齐、报数，出列、入列，行进、停止，方向变换</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jc w:val="left"/>
            </w:pPr>
            <w:r>
              <w:rPr>
                <w:rFonts w:ascii="Calibri" w:hAnsi="Calibri" w:eastAsia="宋体" w:cs="Times New Roman"/>
                <w:kern w:val="0"/>
                <w:sz w:val="24"/>
                <w:szCs w:val="24"/>
                <w:lang w:val="en-US" w:eastAsia="zh-CN" w:bidi="ar"/>
              </w:rPr>
              <w:t>  </w:t>
            </w:r>
            <w:r>
              <w:rPr>
                <w:rFonts w:hint="default" w:ascii="Symbol" w:hAnsi="Symbol" w:eastAsia="宋体" w:cs="Symbol"/>
                <w:kern w:val="0"/>
                <w:sz w:val="21"/>
                <w:szCs w:val="21"/>
                <w:lang w:val="en-US" w:eastAsia="zh-CN" w:bidi="ar"/>
              </w:rPr>
              <w:t>*</w:t>
            </w:r>
            <w:r>
              <w:rPr>
                <w:rFonts w:ascii="方正书宋简体" w:hAnsi="方正书宋简体" w:eastAsia="方正书宋简体" w:cs="方正书宋简体"/>
                <w:color w:val="231F20"/>
                <w:kern w:val="0"/>
                <w:sz w:val="21"/>
                <w:szCs w:val="21"/>
                <w:lang w:val="en-US" w:eastAsia="zh-CN" w:bidi="ar"/>
              </w:rPr>
              <w:t>知法懂法守法</w:t>
            </w:r>
            <w:r>
              <w:rPr>
                <w:rFonts w:hint="default" w:ascii="Times New Roman" w:hAnsi="Times New Roman" w:eastAsia="宋体" w:cs="Times New Roman"/>
                <w:color w:val="231F20"/>
                <w:kern w:val="0"/>
                <w:sz w:val="21"/>
                <w:szCs w:val="21"/>
                <w:lang w:val="en-US" w:eastAsia="zh-CN" w:bidi="ar"/>
              </w:rPr>
              <w:t xml:space="preserve"> </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rPr>
            </w:pPr>
            <w:r>
              <w:rPr>
                <w:rFonts w:hint="eastAsia"/>
              </w:rPr>
              <w:t>作为新时代的大学生，一定要尽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rPr>
              <w:t>量多地了解和掌握与军事、军人有关的法律知识，做到知法懂法守法。</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b/>
                <w:bCs/>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b/>
                <w:bCs/>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b/>
                <w:bCs/>
                <w:kern w:val="0"/>
                <w:sz w:val="24"/>
                <w:szCs w:val="24"/>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bCs/>
                <w:kern w:val="0"/>
                <w:sz w:val="21"/>
                <w:szCs w:val="21"/>
                <w:lang w:val="en-US" w:eastAsia="zh-CN" w:bidi="ar"/>
              </w:rPr>
              <w:t>射击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bCs/>
                <w:kern w:val="0"/>
                <w:sz w:val="21"/>
                <w:szCs w:val="21"/>
                <w:lang w:val="en-US" w:eastAsia="zh-CN" w:bidi="ar"/>
              </w:rPr>
              <w:t>与战术训练</w:t>
            </w: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轻武器射击</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轻武器性能、构造与保养，简易射击学理，武器操作、实弹射击</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Calibri" w:hAnsi="Calibri" w:eastAsia="宋体" w:cs="Times New Roman"/>
                <w:kern w:val="0"/>
                <w:sz w:val="24"/>
                <w:szCs w:val="24"/>
                <w:lang w:val="en-US" w:eastAsia="zh-CN" w:bidi="ar"/>
              </w:rPr>
              <w:t>20—28</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战术</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单兵战术基础动作、分队战术</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防卫技能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宋体" w:hAnsi="宋体" w:eastAsia="宋体" w:cs="宋体"/>
                <w:b/>
                <w:bCs/>
                <w:kern w:val="0"/>
                <w:sz w:val="21"/>
                <w:szCs w:val="21"/>
                <w:lang w:val="en-US" w:eastAsia="zh-CN" w:bidi="ar"/>
              </w:rPr>
              <w:t>战时防护训练</w:t>
            </w: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default" w:ascii="Symbol" w:hAnsi="Symbol" w:eastAsia="宋体" w:cs="Symbol"/>
                <w:kern w:val="0"/>
                <w:sz w:val="21"/>
                <w:szCs w:val="21"/>
                <w:lang w:val="en-US" w:eastAsia="zh-CN" w:bidi="ar"/>
              </w:rPr>
              <w:t>*</w:t>
            </w: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格斗基础</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格斗常识、格斗基本功，捕俘拳等</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Calibri" w:hAnsi="Calibri" w:eastAsia="宋体" w:cs="Times New Roman"/>
                <w:kern w:val="0"/>
                <w:sz w:val="24"/>
                <w:szCs w:val="24"/>
                <w:lang w:val="en-US" w:eastAsia="zh-CN" w:bidi="ar"/>
              </w:rPr>
              <w:t>32—48</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战场医疗救护</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救护基本知识、个人卫生，意外伤的救护、心肺复苏，战场自救互救</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核生化防护</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防护基本知识和技能，防护装备使用</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bCs/>
                <w:kern w:val="0"/>
                <w:sz w:val="21"/>
                <w:szCs w:val="21"/>
                <w:lang w:val="en-US" w:eastAsia="zh-CN" w:bidi="ar"/>
              </w:rPr>
              <w:t>战备基础与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b/>
                <w:bCs/>
                <w:kern w:val="0"/>
                <w:sz w:val="21"/>
                <w:szCs w:val="21"/>
                <w:lang w:val="en-US" w:eastAsia="zh-CN" w:bidi="ar"/>
              </w:rPr>
              <w:t>应用训练</w:t>
            </w: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战备规定</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战备规定主要内容、要求</w:t>
            </w:r>
          </w:p>
        </w:tc>
        <w:tc>
          <w:tcPr>
            <w:tcW w:w="821" w:type="pct"/>
            <w:vMerge w:val="restar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ascii="Calibri" w:hAnsi="Calibri" w:eastAsia="宋体" w:cs="Times New Roman"/>
                <w:kern w:val="0"/>
                <w:sz w:val="24"/>
                <w:szCs w:val="24"/>
                <w:lang w:val="en-US" w:eastAsia="zh-CN" w:bidi="ar"/>
              </w:rPr>
              <w:t>20—36</w:t>
            </w: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紧急集合</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spacing w:val="-16"/>
                <w:kern w:val="0"/>
                <w:sz w:val="21"/>
                <w:szCs w:val="21"/>
                <w:lang w:val="en-US" w:eastAsia="zh-CN" w:bidi="ar"/>
              </w:rPr>
              <w:t>紧急集合要领、紧急集合训练</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行军拉练</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行军拉练基本要领、方法，徒步行军实践，宿营</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野外生存</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识别和采集野生食物，寻找水源和鉴别水质，野炊</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ascii="Calibri" w:hAnsi="Calibri" w:eastAsia="宋体" w:cs="Times New Roman"/>
                <w:kern w:val="0"/>
                <w:sz w:val="24"/>
                <w:szCs w:val="24"/>
                <w:lang w:val="en-US" w:eastAsia="zh-CN" w:bidi="ar"/>
              </w:rPr>
              <w:t> </w:t>
            </w:r>
            <w:r>
              <w:rPr>
                <w:rFonts w:hint="eastAsia" w:ascii="宋体" w:hAnsi="宋体" w:eastAsia="宋体" w:cs="宋体"/>
                <w:kern w:val="0"/>
                <w:sz w:val="21"/>
                <w:szCs w:val="21"/>
                <w:lang w:val="en-US" w:eastAsia="zh-CN" w:bidi="ar"/>
              </w:rPr>
              <w:t>识图用图</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地形图基本知识、地图使用训练</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r>
        <w:tblPrEx>
          <w:tblBorders>
            <w:top w:val="single" w:color="00B0F0" w:sz="8" w:space="0"/>
            <w:left w:val="single" w:color="00B0F0" w:sz="8" w:space="0"/>
            <w:bottom w:val="single" w:color="00B0F0" w:sz="8" w:space="0"/>
            <w:right w:val="single" w:color="00B0F0" w:sz="8" w:space="0"/>
            <w:insideH w:val="single" w:color="00B0F0" w:sz="8" w:space="0"/>
            <w:insideV w:val="single" w:color="00B0F0" w:sz="8" w:space="0"/>
          </w:tblBorders>
          <w:tblCellMar>
            <w:top w:w="0" w:type="dxa"/>
            <w:left w:w="38" w:type="dxa"/>
            <w:bottom w:w="0" w:type="dxa"/>
            <w:right w:w="38" w:type="dxa"/>
          </w:tblCellMar>
        </w:tblPrEx>
        <w:trPr>
          <w:trHeight w:val="454" w:hRule="atLeast"/>
        </w:trPr>
        <w:tc>
          <w:tcPr>
            <w:tcW w:w="732" w:type="pct"/>
            <w:gridSpan w:val="2"/>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c>
          <w:tcPr>
            <w:tcW w:w="929"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电磁频谱监测</w:t>
            </w:r>
          </w:p>
        </w:tc>
        <w:tc>
          <w:tcPr>
            <w:tcW w:w="2516" w:type="pct"/>
            <w:tcBorders>
              <w:tl2br w:val="nil"/>
              <w:tr2bl w:val="nil"/>
            </w:tcBorders>
            <w:noWrap w:val="0"/>
            <w:tcMar>
              <w:top w:w="85" w:type="dxa"/>
              <w:left w:w="0" w:type="dxa"/>
              <w:bottom w:w="85" w:type="dxa"/>
              <w:right w:w="0"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pPr>
            <w:r>
              <w:rPr>
                <w:rFonts w:hint="eastAsia" w:ascii="宋体" w:hAnsi="宋体" w:eastAsia="宋体" w:cs="宋体"/>
                <w:kern w:val="0"/>
                <w:sz w:val="21"/>
                <w:szCs w:val="21"/>
                <w:lang w:val="en-US" w:eastAsia="zh-CN" w:bidi="ar"/>
              </w:rPr>
              <w:t>电磁频谱监测基本知识、方法训练</w:t>
            </w:r>
          </w:p>
        </w:tc>
        <w:tc>
          <w:tcPr>
            <w:tcW w:w="821" w:type="pct"/>
            <w:vMerge w:val="continue"/>
            <w:tcBorders>
              <w:tl2br w:val="nil"/>
              <w:tr2bl w:val="nil"/>
            </w:tcBorders>
            <w:noWrap w:val="0"/>
            <w:tcMar>
              <w:top w:w="85" w:type="dxa"/>
              <w:left w:w="0" w:type="dxa"/>
              <w:bottom w:w="85" w:type="dxa"/>
              <w:right w:w="0" w:type="dxa"/>
            </w:tcMar>
            <w:vAlign w:val="center"/>
          </w:tcPr>
          <w:p>
            <w:pPr>
              <w:rPr>
                <w:rFonts w:hint="eastAsia" w:ascii="宋体"/>
                <w:sz w:val="24"/>
                <w:szCs w:val="24"/>
              </w:rPr>
            </w:pPr>
          </w:p>
        </w:tc>
      </w:tr>
    </w:tbl>
    <w:p>
      <w:pPr>
        <w:pStyle w:val="3"/>
        <w:spacing w:before="120" w:beforeLines="50" w:after="120" w:afterLines="50" w:line="360" w:lineRule="auto"/>
        <w:ind w:left="3" w:firstLine="423"/>
        <w:rPr>
          <w:rFonts w:asciiTheme="minorEastAsia" w:hAnsiTheme="minorEastAsia" w:eastAsiaTheme="minorEastAsia"/>
          <w:color w:val="auto"/>
          <w:spacing w:val="-1"/>
          <w:lang w:eastAsia="zh-CN"/>
        </w:rPr>
      </w:pPr>
    </w:p>
    <w:p>
      <w:pPr>
        <w:pStyle w:val="3"/>
        <w:spacing w:before="120" w:beforeLines="50" w:after="120" w:afterLines="50" w:line="360" w:lineRule="auto"/>
        <w:ind w:left="3" w:firstLine="423"/>
        <w:rPr>
          <w:rFonts w:asciiTheme="minorEastAsia" w:hAnsiTheme="minorEastAsia" w:eastAsiaTheme="minorEastAsia"/>
          <w:color w:val="auto"/>
          <w:spacing w:val="-1"/>
          <w:lang w:eastAsia="zh-CN"/>
        </w:rPr>
      </w:pPr>
    </w:p>
    <w:p>
      <w:pPr>
        <w:pStyle w:val="3"/>
        <w:spacing w:before="120" w:beforeLines="50" w:after="120" w:afterLines="50" w:line="360" w:lineRule="auto"/>
        <w:ind w:left="272"/>
        <w:outlineLvl w:val="1"/>
        <w:rPr>
          <w:rFonts w:asciiTheme="minorEastAsia" w:hAnsiTheme="minorEastAsia" w:eastAsiaTheme="minorEastAsia"/>
          <w:color w:val="auto"/>
          <w:sz w:val="27"/>
          <w:szCs w:val="27"/>
        </w:rPr>
      </w:pPr>
      <w:bookmarkStart w:id="7" w:name="bookmark6"/>
      <w:bookmarkEnd w:id="7"/>
      <w:r>
        <w:rPr>
          <w:rFonts w:asciiTheme="minorEastAsia" w:hAnsiTheme="minorEastAsia" w:eastAsiaTheme="minorEastAsia"/>
          <w:color w:val="auto"/>
          <w:spacing w:val="9"/>
          <w:sz w:val="27"/>
          <w:szCs w:val="27"/>
        </w:rPr>
        <w:t>（二）课程内容</w:t>
      </w:r>
    </w:p>
    <w:tbl>
      <w:tblPr>
        <w:tblStyle w:val="11"/>
        <w:tblW w:w="8201" w:type="dxa"/>
        <w:tblInd w:w="0" w:type="dxa"/>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Layout w:type="fixed"/>
        <w:tblCellMar>
          <w:top w:w="0" w:type="dxa"/>
          <w:left w:w="0" w:type="dxa"/>
          <w:bottom w:w="0" w:type="dxa"/>
          <w:right w:w="0" w:type="dxa"/>
        </w:tblCellMar>
      </w:tblPr>
      <w:tblGrid>
        <w:gridCol w:w="1417"/>
        <w:gridCol w:w="2262"/>
        <w:gridCol w:w="4522"/>
      </w:tblGrid>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427" w:hRule="atLeast"/>
        </w:trPr>
        <w:tc>
          <w:tcPr>
            <w:tcW w:w="1417" w:type="dxa"/>
            <w:tcBorders>
              <w:top w:val="single" w:color="00AEEF" w:sz="6" w:space="0"/>
              <w:left w:val="single" w:color="00AEEF" w:sz="6" w:space="0"/>
            </w:tcBorders>
            <w:vAlign w:val="center"/>
          </w:tcPr>
          <w:p>
            <w:pPr>
              <w:ind w:left="210" w:leftChars="100"/>
              <w:jc w:val="center"/>
              <w:rPr>
                <w:rFonts w:cs="微软雅黑" w:asciiTheme="minorEastAsia" w:hAnsiTheme="minorEastAsia" w:eastAsiaTheme="minorEastAsia"/>
                <w:color w:val="auto"/>
                <w:sz w:val="18"/>
                <w:szCs w:val="18"/>
              </w:rPr>
            </w:pPr>
            <w:r>
              <w:rPr>
                <w:rFonts w:cs="微软雅黑" w:asciiTheme="minorEastAsia" w:hAnsiTheme="minorEastAsia" w:eastAsiaTheme="minorEastAsia"/>
                <w:color w:val="auto"/>
                <w:spacing w:val="-2"/>
                <w:sz w:val="18"/>
                <w:szCs w:val="18"/>
              </w:rPr>
              <w:t>单元</w:t>
            </w:r>
          </w:p>
        </w:tc>
        <w:tc>
          <w:tcPr>
            <w:tcW w:w="2262" w:type="dxa"/>
            <w:tcBorders>
              <w:top w:val="single" w:color="00AEEF" w:sz="6" w:space="0"/>
            </w:tcBorders>
            <w:vAlign w:val="center"/>
          </w:tcPr>
          <w:p>
            <w:pPr>
              <w:ind w:left="210" w:leftChars="100"/>
              <w:jc w:val="center"/>
              <w:rPr>
                <w:rFonts w:cs="微软雅黑" w:asciiTheme="minorEastAsia" w:hAnsiTheme="minorEastAsia" w:eastAsiaTheme="minorEastAsia"/>
                <w:color w:val="auto"/>
                <w:sz w:val="18"/>
                <w:szCs w:val="18"/>
              </w:rPr>
            </w:pPr>
            <w:r>
              <w:rPr>
                <w:rFonts w:cs="微软雅黑" w:asciiTheme="minorEastAsia" w:hAnsiTheme="minorEastAsia" w:eastAsiaTheme="minorEastAsia"/>
                <w:color w:val="auto"/>
                <w:spacing w:val="-1"/>
                <w:sz w:val="18"/>
                <w:szCs w:val="18"/>
              </w:rPr>
              <w:t>任务描述</w:t>
            </w:r>
          </w:p>
        </w:tc>
        <w:tc>
          <w:tcPr>
            <w:tcW w:w="4522" w:type="dxa"/>
            <w:tcBorders>
              <w:top w:val="single" w:color="00AEEF" w:sz="6" w:space="0"/>
              <w:right w:val="single" w:color="00AEEF" w:sz="6" w:space="0"/>
            </w:tcBorders>
            <w:vAlign w:val="center"/>
          </w:tcPr>
          <w:p>
            <w:pPr>
              <w:ind w:left="210" w:leftChars="100"/>
              <w:jc w:val="center"/>
              <w:rPr>
                <w:rFonts w:cs="微软雅黑" w:asciiTheme="minorEastAsia" w:hAnsiTheme="minorEastAsia" w:eastAsiaTheme="minorEastAsia"/>
                <w:color w:val="auto"/>
                <w:sz w:val="18"/>
                <w:szCs w:val="18"/>
              </w:rPr>
            </w:pPr>
            <w:r>
              <w:rPr>
                <w:rFonts w:cs="微软雅黑" w:asciiTheme="minorEastAsia" w:hAnsiTheme="minorEastAsia" w:eastAsiaTheme="minorEastAsia"/>
                <w:color w:val="auto"/>
                <w:spacing w:val="-1"/>
                <w:sz w:val="18"/>
                <w:szCs w:val="18"/>
              </w:rPr>
              <w:t>教学内容与要求</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463" w:hRule="atLeast"/>
        </w:trPr>
        <w:tc>
          <w:tcPr>
            <w:tcW w:w="1417" w:type="dxa"/>
            <w:tcBorders>
              <w:left w:val="single" w:color="00AEEF" w:sz="6" w:space="0"/>
            </w:tcBorders>
            <w:vAlign w:val="center"/>
          </w:tcPr>
          <w:p>
            <w:pPr>
              <w:ind w:left="210" w:leftChars="100"/>
              <w:jc w:val="both"/>
              <w:rPr>
                <w:rFonts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rPr>
              <w:t>中国国防</w:t>
            </w:r>
          </w:p>
        </w:tc>
        <w:tc>
          <w:tcPr>
            <w:tcW w:w="2262" w:type="dxa"/>
            <w:vAlign w:val="center"/>
          </w:tcPr>
          <w:p>
            <w:pPr>
              <w:ind w:left="210" w:leftChars="100" w:right="76" w:firstLine="358"/>
              <w:jc w:val="both"/>
              <w:rPr>
                <w:rFonts w:hint="default" w:cs="微软雅黑" w:asciiTheme="minorEastAsia" w:hAnsiTheme="minorEastAsia" w:eastAsiaTheme="minorEastAsia"/>
                <w:color w:val="auto"/>
                <w:sz w:val="18"/>
                <w:szCs w:val="18"/>
                <w:lang w:val="en-US" w:eastAsia="zh-CN"/>
              </w:rPr>
            </w:pPr>
            <w:r>
              <w:rPr>
                <w:rFonts w:hint="eastAsia" w:cs="微软雅黑" w:asciiTheme="minorEastAsia" w:hAnsiTheme="minorEastAsia" w:eastAsiaTheme="minorEastAsia"/>
                <w:color w:val="auto"/>
                <w:sz w:val="18"/>
                <w:szCs w:val="18"/>
                <w:lang w:val="en-US" w:eastAsia="zh-CN"/>
              </w:rPr>
              <w:t>了解</w:t>
            </w:r>
            <w:r>
              <w:rPr>
                <w:rFonts w:hint="eastAsia" w:cs="微软雅黑" w:asciiTheme="minorEastAsia" w:hAnsiTheme="minorEastAsia" w:eastAsiaTheme="minorEastAsia"/>
                <w:color w:val="auto"/>
                <w:sz w:val="18"/>
                <w:szCs w:val="18"/>
                <w:lang w:eastAsia="zh-CN"/>
              </w:rPr>
              <w:t>国防的概述</w:t>
            </w:r>
            <w:r>
              <w:rPr>
                <w:rFonts w:hint="eastAsia" w:cs="微软雅黑" w:asciiTheme="minorEastAsia" w:hAnsiTheme="minorEastAsia" w:eastAsiaTheme="minorEastAsia"/>
                <w:color w:val="auto"/>
                <w:sz w:val="18"/>
                <w:szCs w:val="18"/>
                <w:lang w:val="en-US" w:eastAsia="zh-CN"/>
              </w:rPr>
              <w:t>知识掌握</w:t>
            </w:r>
            <w:r>
              <w:rPr>
                <w:rFonts w:hint="eastAsia" w:cs="微软雅黑" w:asciiTheme="minorEastAsia" w:hAnsiTheme="minorEastAsia" w:eastAsiaTheme="minorEastAsia"/>
                <w:color w:val="auto"/>
                <w:sz w:val="18"/>
                <w:szCs w:val="18"/>
                <w:lang w:eastAsia="zh-CN"/>
              </w:rPr>
              <w:t>国防法规、国防建设，</w:t>
            </w:r>
            <w:r>
              <w:rPr>
                <w:rFonts w:hint="eastAsia" w:cs="微软雅黑" w:asciiTheme="minorEastAsia" w:hAnsiTheme="minorEastAsia" w:eastAsiaTheme="minorEastAsia"/>
                <w:color w:val="auto"/>
                <w:sz w:val="18"/>
                <w:szCs w:val="18"/>
                <w:lang w:val="en-US" w:eastAsia="zh-CN"/>
              </w:rPr>
              <w:t>熟悉常规的</w:t>
            </w:r>
            <w:r>
              <w:rPr>
                <w:rFonts w:hint="eastAsia" w:cs="微软雅黑" w:asciiTheme="minorEastAsia" w:hAnsiTheme="minorEastAsia" w:eastAsiaTheme="minorEastAsia"/>
                <w:color w:val="auto"/>
                <w:sz w:val="18"/>
                <w:szCs w:val="18"/>
                <w:lang w:eastAsia="zh-CN"/>
              </w:rPr>
              <w:t>武装力量、国防动员的</w:t>
            </w:r>
            <w:r>
              <w:rPr>
                <w:rFonts w:hint="eastAsia" w:cs="微软雅黑" w:asciiTheme="minorEastAsia" w:hAnsiTheme="minorEastAsia" w:eastAsiaTheme="minorEastAsia"/>
                <w:color w:val="auto"/>
                <w:sz w:val="18"/>
                <w:szCs w:val="18"/>
                <w:lang w:val="en-US" w:eastAsia="zh-CN"/>
              </w:rPr>
              <w:t>基本知识。</w:t>
            </w:r>
          </w:p>
        </w:tc>
        <w:tc>
          <w:tcPr>
            <w:tcW w:w="4522" w:type="dxa"/>
            <w:tcBorders>
              <w:right w:val="single" w:color="00AEEF" w:sz="6" w:space="0"/>
            </w:tcBorders>
            <w:vAlign w:val="center"/>
          </w:tcPr>
          <w:p>
            <w:pPr>
              <w:ind w:left="210" w:leftChars="100"/>
              <w:jc w:val="both"/>
              <w:rPr>
                <w:rFonts w:hint="eastAsia"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rPr>
              <w:t>理解国防内涵和国防历史，树立正确的国防观；</w:t>
            </w:r>
          </w:p>
          <w:p>
            <w:pPr>
              <w:ind w:left="210" w:leftChars="100"/>
              <w:jc w:val="both"/>
              <w:rPr>
                <w:rFonts w:hint="eastAsia"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rPr>
              <w:t>了解我国国防体制、国防战略、国防政策以及国防成就，激发学生的爱国热情；</w:t>
            </w:r>
          </w:p>
          <w:p>
            <w:pPr>
              <w:ind w:left="210" w:leftChars="100"/>
              <w:jc w:val="both"/>
              <w:rPr>
                <w:rFonts w:hint="eastAsia"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rPr>
              <w:t>熟悉国防法规、武装力量、国防动员的主要内容，增强学生国防意识</w:t>
            </w:r>
            <w:r>
              <w:rPr>
                <w:rFonts w:hint="eastAsia" w:cs="微软雅黑" w:asciiTheme="minorEastAsia" w:hAnsiTheme="minorEastAsia" w:eastAsiaTheme="minorEastAsia"/>
                <w:color w:val="auto"/>
                <w:sz w:val="18"/>
                <w:szCs w:val="18"/>
                <w:lang w:eastAsia="zh-CN"/>
              </w:rPr>
              <w:t>。</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461" w:hRule="atLeast"/>
        </w:trPr>
        <w:tc>
          <w:tcPr>
            <w:tcW w:w="1417" w:type="dxa"/>
            <w:tcBorders>
              <w:left w:val="single" w:color="00AEEF" w:sz="6" w:space="0"/>
            </w:tcBorders>
            <w:vAlign w:val="center"/>
          </w:tcPr>
          <w:p>
            <w:pPr>
              <w:ind w:left="300" w:leftChars="100" w:right="258" w:hanging="90"/>
              <w:jc w:val="both"/>
              <w:rPr>
                <w:rFonts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rPr>
              <w:t>国家安全</w:t>
            </w:r>
          </w:p>
        </w:tc>
        <w:tc>
          <w:tcPr>
            <w:tcW w:w="2262" w:type="dxa"/>
            <w:vAlign w:val="center"/>
          </w:tcPr>
          <w:p>
            <w:pPr>
              <w:ind w:left="210" w:leftChars="100" w:right="76" w:firstLine="358"/>
              <w:jc w:val="both"/>
              <w:rPr>
                <w:rFonts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val="en-US" w:eastAsia="zh-CN"/>
              </w:rPr>
              <w:t>了解国家安全和我国地缘环境基本概况；清楚国际战略形势现状与发展趋势、世界主要国家军事力量及战略动向。</w:t>
            </w:r>
          </w:p>
        </w:tc>
        <w:tc>
          <w:tcPr>
            <w:tcW w:w="4522" w:type="dxa"/>
            <w:tcBorders>
              <w:right w:val="single" w:color="00AEEF" w:sz="6" w:space="0"/>
            </w:tcBorders>
            <w:vAlign w:val="center"/>
          </w:tcPr>
          <w:p>
            <w:pPr>
              <w:ind w:left="210" w:leftChars="100"/>
              <w:jc w:val="both"/>
              <w:rPr>
                <w:rFonts w:hint="eastAsia"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eastAsia="zh-CN"/>
              </w:rPr>
              <w:t>正确把握和认识国家安全的内涵，理解我国总体国家安全观，提升学生防间保密意识；</w:t>
            </w:r>
          </w:p>
          <w:p>
            <w:pPr>
              <w:ind w:left="210" w:leftChars="100"/>
              <w:jc w:val="both"/>
              <w:rPr>
                <w:rFonts w:hint="eastAsia"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eastAsia="zh-CN"/>
              </w:rPr>
              <w:t>深刻认识当前我国面临的安全形势；</w:t>
            </w:r>
          </w:p>
          <w:p>
            <w:pPr>
              <w:ind w:left="210" w:leftChars="100"/>
              <w:jc w:val="both"/>
              <w:rPr>
                <w:rFonts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eastAsia="zh-CN"/>
              </w:rPr>
              <w:t>了解世界主要国家军事力量及战略动向，增强学生忧患意识。</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713" w:hRule="atLeast"/>
        </w:trPr>
        <w:tc>
          <w:tcPr>
            <w:tcW w:w="1417" w:type="dxa"/>
            <w:tcBorders>
              <w:left w:val="single" w:color="00AEEF" w:sz="6" w:space="0"/>
            </w:tcBorders>
            <w:vAlign w:val="center"/>
          </w:tcPr>
          <w:p>
            <w:pPr>
              <w:ind w:left="210" w:leftChars="100"/>
              <w:jc w:val="both"/>
              <w:rPr>
                <w:rFonts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rPr>
              <w:t>军事思想</w:t>
            </w:r>
          </w:p>
        </w:tc>
        <w:tc>
          <w:tcPr>
            <w:tcW w:w="2262" w:type="dxa"/>
            <w:vAlign w:val="center"/>
          </w:tcPr>
          <w:p>
            <w:pPr>
              <w:ind w:leftChars="100"/>
              <w:jc w:val="both"/>
              <w:rPr>
                <w:rFonts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lang w:val="en-US" w:eastAsia="zh-CN"/>
              </w:rPr>
              <w:t>认识军事思想的概述；掌握外国军事思想的主要内容、特点等，熟悉中国古代军事思想内容、特点以及代表性著作，熟知当代中国军事思想。</w:t>
            </w:r>
          </w:p>
        </w:tc>
        <w:tc>
          <w:tcPr>
            <w:tcW w:w="4522" w:type="dxa"/>
            <w:tcBorders>
              <w:right w:val="single" w:color="00AEEF" w:sz="6" w:space="0"/>
            </w:tcBorders>
            <w:vAlign w:val="center"/>
          </w:tcPr>
          <w:p>
            <w:pPr>
              <w:ind w:left="210" w:leftChars="100"/>
              <w:jc w:val="both"/>
              <w:rPr>
                <w:rFonts w:hint="eastAsia" w:cs="微软雅黑" w:asciiTheme="minorEastAsia" w:hAnsiTheme="minorEastAsia" w:eastAsiaTheme="minorEastAsia"/>
                <w:color w:val="auto"/>
                <w:sz w:val="18"/>
                <w:szCs w:val="18"/>
                <w:lang w:val="en-US" w:eastAsia="zh-CN"/>
              </w:rPr>
            </w:pPr>
            <w:r>
              <w:rPr>
                <w:rFonts w:hint="eastAsia" w:cs="微软雅黑" w:asciiTheme="minorEastAsia" w:hAnsiTheme="minorEastAsia" w:eastAsiaTheme="minorEastAsia"/>
                <w:color w:val="auto"/>
                <w:sz w:val="18"/>
                <w:szCs w:val="18"/>
                <w:lang w:val="en-US" w:eastAsia="zh-CN"/>
              </w:rPr>
              <w:t>了解军事思想的内涵和形成与发展历程；</w:t>
            </w:r>
          </w:p>
          <w:p>
            <w:pPr>
              <w:ind w:left="210" w:leftChars="100"/>
              <w:jc w:val="both"/>
              <w:rPr>
                <w:rFonts w:hint="eastAsia" w:cs="微软雅黑" w:asciiTheme="minorEastAsia" w:hAnsiTheme="minorEastAsia" w:eastAsiaTheme="minorEastAsia"/>
                <w:color w:val="auto"/>
                <w:sz w:val="18"/>
                <w:szCs w:val="18"/>
                <w:lang w:val="en-US" w:eastAsia="zh-CN"/>
              </w:rPr>
            </w:pPr>
            <w:r>
              <w:rPr>
                <w:rFonts w:hint="eastAsia" w:cs="微软雅黑" w:asciiTheme="minorEastAsia" w:hAnsiTheme="minorEastAsia" w:eastAsiaTheme="minorEastAsia"/>
                <w:color w:val="auto"/>
                <w:sz w:val="18"/>
                <w:szCs w:val="18"/>
                <w:lang w:val="en-US" w:eastAsia="zh-CN"/>
              </w:rPr>
              <w:t>了解外国代表性军事思想；</w:t>
            </w:r>
          </w:p>
          <w:p>
            <w:pPr>
              <w:ind w:left="210" w:leftChars="100"/>
              <w:jc w:val="both"/>
              <w:rPr>
                <w:rFonts w:hint="eastAsia" w:cs="微软雅黑" w:asciiTheme="minorEastAsia" w:hAnsiTheme="minorEastAsia" w:eastAsiaTheme="minorEastAsia"/>
                <w:color w:val="auto"/>
                <w:sz w:val="18"/>
                <w:szCs w:val="18"/>
                <w:lang w:val="en-US" w:eastAsia="zh-CN"/>
              </w:rPr>
            </w:pPr>
            <w:r>
              <w:rPr>
                <w:rFonts w:hint="eastAsia" w:cs="微软雅黑" w:asciiTheme="minorEastAsia" w:hAnsiTheme="minorEastAsia" w:eastAsiaTheme="minorEastAsia"/>
                <w:color w:val="auto"/>
                <w:sz w:val="18"/>
                <w:szCs w:val="18"/>
                <w:lang w:val="en-US" w:eastAsia="zh-CN"/>
              </w:rPr>
              <w:t>熟悉我国军事思想的主要内容、地位作用和现实意义；</w:t>
            </w:r>
          </w:p>
          <w:p>
            <w:pPr>
              <w:ind w:left="210" w:leftChars="100"/>
              <w:jc w:val="both"/>
              <w:rPr>
                <w:rFonts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val="en-US" w:eastAsia="zh-CN"/>
              </w:rPr>
              <w:t>理解习近平强军思想的科学含义和主要内容，使学生树立科学的战争观和方法论。</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207" w:hRule="atLeast"/>
        </w:trPr>
        <w:tc>
          <w:tcPr>
            <w:tcW w:w="1417" w:type="dxa"/>
            <w:tcBorders>
              <w:left w:val="single" w:color="00AEEF" w:sz="6" w:space="0"/>
            </w:tcBorders>
            <w:vAlign w:val="center"/>
          </w:tcPr>
          <w:p>
            <w:pPr>
              <w:ind w:left="210" w:leftChars="100"/>
              <w:jc w:val="both"/>
              <w:rPr>
                <w:rFonts w:cs="微软雅黑" w:asciiTheme="minorEastAsia" w:hAnsiTheme="minorEastAsia" w:eastAsiaTheme="minorEastAsia"/>
                <w:color w:val="auto"/>
                <w:sz w:val="18"/>
                <w:szCs w:val="18"/>
              </w:rPr>
            </w:pPr>
            <w:r>
              <w:rPr>
                <w:rFonts w:hint="eastAsia" w:cs="微软雅黑" w:asciiTheme="minorEastAsia" w:hAnsiTheme="minorEastAsia" w:eastAsiaTheme="minorEastAsia"/>
                <w:color w:val="auto"/>
                <w:sz w:val="18"/>
                <w:szCs w:val="18"/>
              </w:rPr>
              <w:t>现代战争</w:t>
            </w:r>
          </w:p>
        </w:tc>
        <w:tc>
          <w:tcPr>
            <w:tcW w:w="2262" w:type="dxa"/>
            <w:vAlign w:val="center"/>
          </w:tcPr>
          <w:p>
            <w:pPr>
              <w:ind w:leftChars="100"/>
              <w:jc w:val="both"/>
              <w:rPr>
                <w:rFonts w:hint="default" w:cs="微软雅黑" w:asciiTheme="minorEastAsia" w:hAnsiTheme="minorEastAsia" w:eastAsiaTheme="minorEastAsia"/>
                <w:color w:val="auto"/>
                <w:sz w:val="18"/>
                <w:szCs w:val="18"/>
                <w:lang w:val="en-US"/>
              </w:rPr>
            </w:pPr>
            <w:r>
              <w:rPr>
                <w:rFonts w:hint="eastAsia" w:ascii="宋体" w:hAnsi="宋体" w:eastAsia="宋体" w:cs="宋体"/>
                <w:kern w:val="0"/>
                <w:sz w:val="21"/>
                <w:szCs w:val="21"/>
                <w:lang w:val="en-US" w:eastAsia="zh-CN" w:bidi="ar"/>
              </w:rPr>
              <w:t>认识新军事革命</w:t>
            </w:r>
            <w:r>
              <w:rPr>
                <w:rFonts w:hint="eastAsia" w:ascii="Times New Roman" w:hAnsi="Times New Roman" w:eastAsia="宋体" w:cs="Times New Roman"/>
                <w:kern w:val="0"/>
                <w:sz w:val="21"/>
                <w:szCs w:val="21"/>
                <w:lang w:val="en-US" w:eastAsia="zh-CN" w:bidi="ar"/>
              </w:rPr>
              <w:t>，掌握</w:t>
            </w:r>
            <w:r>
              <w:rPr>
                <w:rFonts w:hint="eastAsia" w:ascii="宋体" w:hAnsi="宋体" w:eastAsia="宋体" w:cs="宋体"/>
                <w:kern w:val="0"/>
                <w:sz w:val="21"/>
                <w:szCs w:val="21"/>
                <w:lang w:val="en-US" w:eastAsia="zh-CN" w:bidi="ar"/>
              </w:rPr>
              <w:t>机械化战争、信息化战争的内涵和过程、发展趋势。</w:t>
            </w:r>
          </w:p>
        </w:tc>
        <w:tc>
          <w:tcPr>
            <w:tcW w:w="4522" w:type="dxa"/>
            <w:tcBorders>
              <w:right w:val="single" w:color="00AEEF" w:sz="6" w:space="0"/>
            </w:tcBorders>
            <w:vAlign w:val="center"/>
          </w:tcPr>
          <w:p>
            <w:pPr>
              <w:ind w:left="210" w:leftChars="100"/>
              <w:jc w:val="both"/>
              <w:rPr>
                <w:rFonts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eastAsia="zh-CN"/>
              </w:rPr>
              <w:t>了解战争内涵、特点、发展历程，理解新军事革命的内涵和发展演变，掌握机械化战争、信息化战争的形成、主要形态、特征、代表性战例和发展趋势，使学生树立打赢信息化战争的信心</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207" w:hRule="atLeast"/>
        </w:trPr>
        <w:tc>
          <w:tcPr>
            <w:tcW w:w="1417" w:type="dxa"/>
            <w:tcBorders>
              <w:left w:val="single" w:color="00AEEF" w:sz="6" w:space="0"/>
            </w:tcBorders>
            <w:vAlign w:val="center"/>
          </w:tcPr>
          <w:p>
            <w:pPr>
              <w:ind w:left="210" w:leftChars="100"/>
              <w:jc w:val="both"/>
              <w:rPr>
                <w:rFonts w:hint="eastAsia" w:cs="微软雅黑" w:asciiTheme="minorEastAsia" w:hAnsiTheme="minorEastAsia" w:eastAsiaTheme="minorEastAsia"/>
                <w:snapToGrid w:val="0"/>
                <w:color w:val="auto"/>
                <w:sz w:val="18"/>
                <w:szCs w:val="18"/>
                <w:lang w:val="en-US" w:eastAsia="en-US" w:bidi="ar-SA"/>
              </w:rPr>
            </w:pPr>
            <w:r>
              <w:rPr>
                <w:rFonts w:hint="eastAsia" w:cs="微软雅黑" w:asciiTheme="minorEastAsia" w:hAnsiTheme="minorEastAsia" w:eastAsiaTheme="minorEastAsia"/>
                <w:color w:val="auto"/>
                <w:sz w:val="18"/>
                <w:szCs w:val="18"/>
              </w:rPr>
              <w:t>信息化装备</w:t>
            </w:r>
          </w:p>
        </w:tc>
        <w:tc>
          <w:tcPr>
            <w:tcW w:w="2262" w:type="dxa"/>
            <w:vAlign w:val="center"/>
          </w:tcPr>
          <w:p>
            <w:pPr>
              <w:ind w:left="210" w:leftChars="100"/>
              <w:jc w:val="both"/>
              <w:rPr>
                <w:rFonts w:hint="default" w:cs="Times New Roman" w:asciiTheme="minorEastAsia" w:hAnsiTheme="minorEastAsia" w:eastAsiaTheme="minorEastAsia"/>
                <w:color w:val="auto"/>
                <w:spacing w:val="-1"/>
                <w:sz w:val="18"/>
                <w:szCs w:val="18"/>
                <w:lang w:val="en-US"/>
              </w:rPr>
            </w:pPr>
            <w:r>
              <w:rPr>
                <w:rFonts w:hint="eastAsia" w:ascii="宋体" w:hAnsi="宋体" w:eastAsia="宋体" w:cs="宋体"/>
                <w:kern w:val="0"/>
                <w:sz w:val="18"/>
                <w:szCs w:val="18"/>
                <w:lang w:val="en-US" w:eastAsia="zh-CN" w:bidi="ar"/>
              </w:rPr>
              <w:t>掌握信息化作战平台、综合电子信息系统，了解信息化杀伤武器的原理等。</w:t>
            </w:r>
          </w:p>
        </w:tc>
        <w:tc>
          <w:tcPr>
            <w:tcW w:w="4522" w:type="dxa"/>
            <w:tcBorders>
              <w:right w:val="single" w:color="00AEEF" w:sz="6" w:space="0"/>
            </w:tcBorders>
            <w:vAlign w:val="center"/>
          </w:tcPr>
          <w:p>
            <w:pPr>
              <w:ind w:left="210" w:leftChars="100"/>
              <w:jc w:val="both"/>
              <w:rPr>
                <w:rFonts w:hint="eastAsia" w:cs="微软雅黑" w:asciiTheme="minorEastAsia" w:hAnsiTheme="minorEastAsia" w:eastAsiaTheme="minorEastAsia"/>
                <w:color w:val="auto"/>
                <w:sz w:val="18"/>
                <w:szCs w:val="18"/>
                <w:lang w:eastAsia="zh-CN"/>
              </w:rPr>
            </w:pPr>
            <w:r>
              <w:rPr>
                <w:rFonts w:hint="eastAsia" w:cs="微软雅黑" w:asciiTheme="minorEastAsia" w:hAnsiTheme="minorEastAsia" w:eastAsiaTheme="minorEastAsia"/>
                <w:color w:val="auto"/>
                <w:sz w:val="18"/>
                <w:szCs w:val="18"/>
                <w:lang w:eastAsia="zh-CN"/>
              </w:rPr>
              <w:t>了解信息化装备的内涵、分类、发展及对现代作战的影响，熟悉世界主要国家信息化装备的发展情况，激发学生学习高科技的积极性，为国防科研奠定人才基础</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207" w:hRule="atLeast"/>
        </w:trPr>
        <w:tc>
          <w:tcPr>
            <w:tcW w:w="1417" w:type="dxa"/>
            <w:vAlign w:val="center"/>
          </w:tcPr>
          <w:p>
            <w:pPr>
              <w:ind w:left="210" w:leftChars="100"/>
              <w:jc w:val="both"/>
              <w:rPr>
                <w:rFonts w:hint="eastAsia" w:cs="微软雅黑" w:asciiTheme="minorEastAsia" w:hAnsiTheme="minorEastAsia" w:eastAsiaTheme="minorEastAsia"/>
                <w:snapToGrid w:val="0"/>
                <w:color w:val="auto"/>
                <w:sz w:val="18"/>
                <w:szCs w:val="18"/>
                <w:lang w:val="en-US" w:eastAsia="en-US" w:bidi="ar-SA"/>
              </w:rPr>
            </w:pPr>
            <w:r>
              <w:rPr>
                <w:rFonts w:hint="eastAsia" w:cs="微软雅黑" w:asciiTheme="minorEastAsia" w:hAnsiTheme="minorEastAsia" w:eastAsiaTheme="minorEastAsia"/>
                <w:color w:val="auto"/>
                <w:sz w:val="18"/>
                <w:szCs w:val="18"/>
              </w:rPr>
              <w:t>共同条令教育</w:t>
            </w:r>
          </w:p>
        </w:tc>
        <w:tc>
          <w:tcPr>
            <w:tcW w:w="2262" w:type="dxa"/>
            <w:vAlign w:val="center"/>
          </w:tcPr>
          <w:p>
            <w:pPr>
              <w:ind w:left="210" w:leftChars="100"/>
              <w:jc w:val="both"/>
              <w:rPr>
                <w:rFonts w:hint="default" w:cs="Times New Roman" w:asciiTheme="minorEastAsia" w:hAnsiTheme="minorEastAsia" w:eastAsiaTheme="minorEastAsia"/>
                <w:color w:val="auto"/>
                <w:spacing w:val="-1"/>
                <w:sz w:val="18"/>
                <w:szCs w:val="18"/>
                <w:lang w:val="en-US"/>
              </w:rPr>
            </w:pPr>
            <w:r>
              <w:rPr>
                <w:rFonts w:hint="eastAsia" w:ascii="宋体" w:hAnsi="宋体" w:eastAsia="宋体" w:cs="宋体"/>
                <w:kern w:val="0"/>
                <w:sz w:val="18"/>
                <w:szCs w:val="18"/>
                <w:lang w:val="en-US" w:eastAsia="zh-CN" w:bidi="ar"/>
              </w:rPr>
              <w:t>掌握共同条令教育，熟知分队的队列动作；掌握基本国防法规等。</w:t>
            </w:r>
          </w:p>
        </w:tc>
        <w:tc>
          <w:tcPr>
            <w:tcW w:w="4522" w:type="dxa"/>
            <w:vAlign w:val="center"/>
          </w:tcPr>
          <w:p>
            <w:pPr>
              <w:ind w:left="210" w:leftChars="100"/>
              <w:jc w:val="both"/>
              <w:rPr>
                <w:rFonts w:hint="eastAsia" w:cs="微软雅黑" w:asciiTheme="minorEastAsia" w:hAnsiTheme="minorEastAsia" w:eastAsiaTheme="minorEastAsia"/>
                <w:color w:val="auto"/>
                <w:sz w:val="18"/>
                <w:szCs w:val="18"/>
                <w:lang w:eastAsia="zh-CN"/>
              </w:rPr>
            </w:pPr>
            <w:r>
              <w:rPr>
                <w:rFonts w:hint="eastAsia" w:ascii="宋体" w:hAnsi="宋体" w:eastAsia="宋体" w:cs="宋体"/>
                <w:kern w:val="0"/>
                <w:sz w:val="18"/>
                <w:szCs w:val="18"/>
                <w:lang w:val="en-US" w:eastAsia="zh-CN" w:bidi="ar"/>
              </w:rPr>
              <w:t>了解中国人民解放军三大条令的主要内容，掌握队列动作的基本要领，养成良好的军事素养，增强组织纪律观念，培养学生令行禁止、团结奋进、顽强拼搏的过硬作风</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207" w:hRule="atLeast"/>
        </w:trPr>
        <w:tc>
          <w:tcPr>
            <w:tcW w:w="1417" w:type="dxa"/>
            <w:vAlign w:val="center"/>
          </w:tcPr>
          <w:p>
            <w:pPr>
              <w:ind w:left="210" w:leftChars="100"/>
              <w:jc w:val="both"/>
              <w:rPr>
                <w:rFonts w:hint="eastAsia" w:cs="微软雅黑" w:asciiTheme="minorEastAsia" w:hAnsiTheme="minorEastAsia" w:eastAsiaTheme="minorEastAsia"/>
                <w:snapToGrid w:val="0"/>
                <w:color w:val="auto"/>
                <w:sz w:val="18"/>
                <w:szCs w:val="18"/>
                <w:lang w:val="en-US" w:eastAsia="en-US" w:bidi="ar-SA"/>
              </w:rPr>
            </w:pPr>
            <w:r>
              <w:rPr>
                <w:rFonts w:hint="eastAsia" w:cs="微软雅黑" w:asciiTheme="minorEastAsia" w:hAnsiTheme="minorEastAsia" w:eastAsiaTheme="minorEastAsia"/>
                <w:color w:val="auto"/>
                <w:sz w:val="18"/>
                <w:szCs w:val="18"/>
              </w:rPr>
              <w:t>　射击与战术</w:t>
            </w:r>
          </w:p>
        </w:tc>
        <w:tc>
          <w:tcPr>
            <w:tcW w:w="2262" w:type="dxa"/>
            <w:vAlign w:val="center"/>
          </w:tcPr>
          <w:p>
            <w:pPr>
              <w:ind w:left="210" w:leftChars="100"/>
              <w:jc w:val="both"/>
              <w:rPr>
                <w:rFonts w:cs="Times New Roman" w:asciiTheme="minorEastAsia" w:hAnsiTheme="minorEastAsia" w:eastAsiaTheme="minorEastAsia"/>
                <w:color w:val="auto"/>
                <w:spacing w:val="-1"/>
                <w:sz w:val="18"/>
                <w:szCs w:val="18"/>
              </w:rPr>
            </w:pPr>
            <w:r>
              <w:rPr>
                <w:rFonts w:ascii="Calibri" w:hAnsi="Calibri" w:eastAsia="宋体" w:cs="Times New Roman"/>
                <w:kern w:val="0"/>
                <w:sz w:val="18"/>
                <w:szCs w:val="18"/>
                <w:lang w:val="en-US" w:eastAsia="zh-CN" w:bidi="ar"/>
              </w:rPr>
              <w:t> </w:t>
            </w:r>
            <w:r>
              <w:rPr>
                <w:rFonts w:hint="eastAsia" w:ascii="Calibri" w:hAnsi="Calibri" w:eastAsia="宋体" w:cs="Times New Roman"/>
                <w:kern w:val="0"/>
                <w:sz w:val="18"/>
                <w:szCs w:val="18"/>
                <w:lang w:val="en-US" w:eastAsia="zh-CN" w:bidi="ar"/>
              </w:rPr>
              <w:t>认识</w:t>
            </w:r>
            <w:r>
              <w:rPr>
                <w:rFonts w:hint="eastAsia" w:ascii="宋体" w:hAnsi="宋体" w:eastAsia="宋体" w:cs="宋体"/>
                <w:kern w:val="0"/>
                <w:sz w:val="18"/>
                <w:szCs w:val="18"/>
                <w:lang w:val="en-US" w:eastAsia="zh-CN" w:bidi="ar"/>
              </w:rPr>
              <w:t>轻武器的分类、型号和射击战术</w:t>
            </w:r>
          </w:p>
        </w:tc>
        <w:tc>
          <w:tcPr>
            <w:tcW w:w="4522" w:type="dxa"/>
            <w:vAlign w:val="center"/>
          </w:tcPr>
          <w:p>
            <w:pPr>
              <w:ind w:left="210" w:leftChars="100"/>
              <w:jc w:val="both"/>
              <w:rPr>
                <w:rFonts w:hint="eastAsia" w:cs="微软雅黑" w:asciiTheme="minorEastAsia" w:hAnsiTheme="minorEastAsia" w:eastAsiaTheme="minorEastAsia"/>
                <w:color w:val="auto"/>
                <w:sz w:val="18"/>
                <w:szCs w:val="18"/>
                <w:lang w:eastAsia="zh-CN"/>
              </w:rPr>
            </w:pPr>
            <w:r>
              <w:rPr>
                <w:rFonts w:hint="eastAsia" w:ascii="宋体" w:hAnsi="宋体" w:eastAsia="宋体" w:cs="宋体"/>
                <w:kern w:val="0"/>
                <w:sz w:val="18"/>
                <w:szCs w:val="18"/>
                <w:lang w:val="en-US" w:eastAsia="zh-CN" w:bidi="ar"/>
              </w:rPr>
              <w:t>了解轻武器的战斗性能，掌握射击动作要领，进行体会射击；学会单兵战术基础动作，了解战斗班组攻防的基本动作和战术原则，培养学生良好的战斗素养</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207" w:hRule="atLeast"/>
        </w:trPr>
        <w:tc>
          <w:tcPr>
            <w:tcW w:w="1417" w:type="dxa"/>
            <w:vAlign w:val="center"/>
          </w:tcPr>
          <w:p>
            <w:pPr>
              <w:ind w:left="210" w:leftChars="100"/>
              <w:jc w:val="both"/>
              <w:rPr>
                <w:rFonts w:hint="eastAsia" w:cs="微软雅黑" w:asciiTheme="minorEastAsia" w:hAnsiTheme="minorEastAsia" w:eastAsiaTheme="minorEastAsia"/>
                <w:snapToGrid w:val="0"/>
                <w:color w:val="auto"/>
                <w:sz w:val="18"/>
                <w:szCs w:val="18"/>
                <w:lang w:val="en-US" w:eastAsia="en-US" w:bidi="ar-SA"/>
              </w:rPr>
            </w:pPr>
            <w:r>
              <w:rPr>
                <w:rFonts w:hint="eastAsia" w:cs="微软雅黑" w:asciiTheme="minorEastAsia" w:hAnsiTheme="minorEastAsia" w:eastAsiaTheme="minorEastAsia"/>
                <w:color w:val="auto"/>
                <w:sz w:val="18"/>
                <w:szCs w:val="18"/>
              </w:rPr>
              <w:t>防卫技能与战时防护</w:t>
            </w:r>
          </w:p>
        </w:tc>
        <w:tc>
          <w:tcPr>
            <w:tcW w:w="2262" w:type="dxa"/>
            <w:vAlign w:val="center"/>
          </w:tcPr>
          <w:p>
            <w:pPr>
              <w:ind w:left="210" w:leftChars="100"/>
              <w:jc w:val="both"/>
              <w:rPr>
                <w:rFonts w:hint="default" w:cs="Times New Roman" w:asciiTheme="minorEastAsia" w:hAnsiTheme="minorEastAsia" w:eastAsiaTheme="minorEastAsia"/>
                <w:color w:val="auto"/>
                <w:spacing w:val="-1"/>
                <w:sz w:val="18"/>
                <w:szCs w:val="18"/>
                <w:lang w:val="en-US"/>
              </w:rPr>
            </w:pPr>
            <w:r>
              <w:rPr>
                <w:rFonts w:hint="eastAsia" w:ascii="宋体" w:hAnsi="宋体" w:eastAsia="宋体" w:cs="宋体"/>
                <w:kern w:val="0"/>
                <w:sz w:val="18"/>
                <w:szCs w:val="18"/>
                <w:lang w:val="en-US" w:eastAsia="zh-CN" w:bidi="ar"/>
              </w:rPr>
              <w:t>掌握基础格斗技能；熟知战场医疗救护知识；了解核生化防护的技能要求。</w:t>
            </w:r>
          </w:p>
        </w:tc>
        <w:tc>
          <w:tcPr>
            <w:tcW w:w="4522" w:type="dxa"/>
            <w:vAlign w:val="center"/>
          </w:tcPr>
          <w:p>
            <w:pPr>
              <w:ind w:left="210" w:leftChars="100"/>
              <w:jc w:val="both"/>
              <w:rPr>
                <w:rFonts w:hint="eastAsia" w:cs="微软雅黑" w:asciiTheme="minorEastAsia" w:hAnsiTheme="minorEastAsia" w:eastAsiaTheme="minorEastAsia"/>
                <w:color w:val="auto"/>
                <w:sz w:val="18"/>
                <w:szCs w:val="18"/>
                <w:lang w:eastAsia="zh-CN"/>
              </w:rPr>
            </w:pPr>
            <w:r>
              <w:rPr>
                <w:rFonts w:hint="eastAsia" w:ascii="宋体" w:hAnsi="宋体" w:eastAsia="宋体" w:cs="宋体"/>
                <w:kern w:val="0"/>
                <w:sz w:val="18"/>
                <w:szCs w:val="18"/>
                <w:lang w:val="en-US" w:eastAsia="zh-CN" w:bidi="ar"/>
              </w:rPr>
              <w:t>了解格斗、防护的基本知识，熟悉卫生、救护基本要领，掌握战场自救互救的技能，提高学生安全防护能力</w:t>
            </w:r>
          </w:p>
        </w:tc>
      </w:tr>
      <w:tr>
        <w:tblPrEx>
          <w:tblBorders>
            <w:top w:val="single" w:color="00AEEF" w:sz="2" w:space="0"/>
            <w:left w:val="single" w:color="00AEEF" w:sz="2" w:space="0"/>
            <w:bottom w:val="single" w:color="00AEEF" w:sz="2" w:space="0"/>
            <w:right w:val="single" w:color="00AEEF" w:sz="2" w:space="0"/>
            <w:insideH w:val="single" w:color="00AEEF" w:sz="2" w:space="0"/>
            <w:insideV w:val="single" w:color="00AEEF" w:sz="2" w:space="0"/>
          </w:tblBorders>
          <w:tblCellMar>
            <w:top w:w="0" w:type="dxa"/>
            <w:left w:w="0" w:type="dxa"/>
            <w:bottom w:w="0" w:type="dxa"/>
            <w:right w:w="0" w:type="dxa"/>
          </w:tblCellMar>
        </w:tblPrEx>
        <w:trPr>
          <w:trHeight w:val="1207" w:hRule="atLeast"/>
        </w:trPr>
        <w:tc>
          <w:tcPr>
            <w:tcW w:w="1417" w:type="dxa"/>
            <w:vAlign w:val="center"/>
          </w:tcPr>
          <w:p>
            <w:pPr>
              <w:ind w:left="210" w:leftChars="100"/>
              <w:jc w:val="both"/>
              <w:rPr>
                <w:rFonts w:hint="eastAsia" w:cs="微软雅黑" w:asciiTheme="minorEastAsia" w:hAnsiTheme="minorEastAsia" w:eastAsiaTheme="minorEastAsia"/>
                <w:snapToGrid w:val="0"/>
                <w:color w:val="auto"/>
                <w:sz w:val="18"/>
                <w:szCs w:val="18"/>
                <w:lang w:val="en-US" w:eastAsia="en-US" w:bidi="ar-SA"/>
              </w:rPr>
            </w:pPr>
            <w:r>
              <w:rPr>
                <w:rFonts w:hint="eastAsia" w:cs="微软雅黑" w:asciiTheme="minorEastAsia" w:hAnsiTheme="minorEastAsia" w:eastAsiaTheme="minorEastAsia"/>
                <w:color w:val="auto"/>
                <w:sz w:val="18"/>
                <w:szCs w:val="18"/>
              </w:rPr>
              <w:t>战备基础与应用</w:t>
            </w:r>
          </w:p>
        </w:tc>
        <w:tc>
          <w:tcPr>
            <w:tcW w:w="2262" w:type="dxa"/>
            <w:vAlign w:val="center"/>
          </w:tcPr>
          <w:p>
            <w:pPr>
              <w:ind w:left="210" w:leftChars="100"/>
              <w:jc w:val="both"/>
              <w:rPr>
                <w:rFonts w:cs="Times New Roman" w:asciiTheme="minorEastAsia" w:hAnsiTheme="minorEastAsia" w:eastAsiaTheme="minorEastAsia"/>
                <w:color w:val="auto"/>
                <w:spacing w:val="-1"/>
                <w:sz w:val="18"/>
                <w:szCs w:val="18"/>
              </w:rPr>
            </w:pPr>
            <w:r>
              <w:rPr>
                <w:rFonts w:hint="eastAsia" w:ascii="宋体" w:hAnsi="宋体" w:eastAsia="宋体" w:cs="宋体"/>
                <w:kern w:val="0"/>
                <w:sz w:val="18"/>
                <w:szCs w:val="18"/>
                <w:lang w:val="en-US" w:eastAsia="zh-CN" w:bidi="ar"/>
              </w:rPr>
              <w:t>掌握战备规定的主要内容，了解紧急集合、行军拉练、野外生存的技术要领；熟知识图用图、电磁频谱监测。</w:t>
            </w:r>
          </w:p>
        </w:tc>
        <w:tc>
          <w:tcPr>
            <w:tcW w:w="4522" w:type="dxa"/>
            <w:vAlign w:val="center"/>
          </w:tcPr>
          <w:p>
            <w:pPr>
              <w:ind w:left="210" w:leftChars="100"/>
              <w:jc w:val="both"/>
              <w:rPr>
                <w:rFonts w:hint="eastAsia" w:cs="微软雅黑" w:asciiTheme="minorEastAsia" w:hAnsiTheme="minorEastAsia" w:eastAsiaTheme="minorEastAsia"/>
                <w:color w:val="auto"/>
                <w:sz w:val="18"/>
                <w:szCs w:val="18"/>
                <w:lang w:eastAsia="zh-CN"/>
              </w:rPr>
            </w:pPr>
            <w:r>
              <w:rPr>
                <w:rFonts w:hint="eastAsia" w:ascii="宋体" w:hAnsi="宋体" w:eastAsia="宋体" w:cs="宋体"/>
                <w:kern w:val="0"/>
                <w:sz w:val="18"/>
                <w:szCs w:val="18"/>
                <w:lang w:val="en-US" w:eastAsia="zh-CN" w:bidi="ar"/>
              </w:rPr>
              <w:t>了解战备规定、紧急集合、徒步行军、野外生存的基本要求、方法和注意事项，学会识图用图、电磁频谱监测的基本技能，培养学生分析判断和应急处置能力，全面提升综合军事素质</w:t>
            </w:r>
          </w:p>
        </w:tc>
      </w:tr>
    </w:tbl>
    <w:p>
      <w:pPr>
        <w:rPr>
          <w:rFonts w:asciiTheme="minorEastAsia" w:hAnsiTheme="minorEastAsia" w:eastAsiaTheme="minorEastAsia"/>
          <w:color w:val="auto"/>
          <w:sz w:val="18"/>
          <w:szCs w:val="18"/>
          <w:lang w:eastAsia="zh-CN"/>
        </w:rPr>
        <w:sectPr>
          <w:footerReference r:id="rId3" w:type="default"/>
          <w:pgSz w:w="10820" w:h="15080"/>
          <w:pgMar w:top="1281" w:right="1296" w:bottom="1076" w:left="1305" w:header="0" w:footer="831" w:gutter="0"/>
          <w:pgBorders>
            <w:top w:val="none" w:sz="0" w:space="0"/>
            <w:left w:val="none" w:sz="0" w:space="0"/>
            <w:bottom w:val="none" w:sz="0" w:space="0"/>
            <w:right w:val="none" w:sz="0" w:space="0"/>
          </w:pgBorders>
          <w:cols w:space="720" w:num="1"/>
        </w:sectPr>
      </w:pPr>
    </w:p>
    <w:p>
      <w:pPr>
        <w:pStyle w:val="3"/>
        <w:rPr>
          <w:rFonts w:asciiTheme="minorEastAsia" w:hAnsiTheme="minorEastAsia" w:eastAsiaTheme="minorEastAsia"/>
          <w:color w:val="auto"/>
          <w:sz w:val="18"/>
          <w:szCs w:val="18"/>
        </w:rPr>
      </w:pPr>
      <w:bookmarkStart w:id="8" w:name="bookmark17"/>
      <w:bookmarkEnd w:id="8"/>
    </w:p>
    <w:p>
      <w:pPr>
        <w:pStyle w:val="3"/>
        <w:spacing w:before="120" w:beforeLines="50" w:after="120" w:afterLines="50" w:line="360" w:lineRule="auto"/>
        <w:ind w:left="25"/>
        <w:outlineLvl w:val="0"/>
        <w:rPr>
          <w:rFonts w:asciiTheme="minorEastAsia" w:hAnsiTheme="minorEastAsia" w:eastAsiaTheme="minorEastAsia"/>
          <w:color w:val="auto"/>
          <w:sz w:val="32"/>
          <w:szCs w:val="32"/>
          <w:lang w:eastAsia="zh-CN"/>
        </w:rPr>
      </w:pPr>
      <w:bookmarkStart w:id="9" w:name="bookmark7"/>
      <w:bookmarkEnd w:id="9"/>
      <w:r>
        <w:rPr>
          <w:rFonts w:asciiTheme="minorEastAsia" w:hAnsiTheme="minorEastAsia" w:eastAsiaTheme="minorEastAsia"/>
          <w:color w:val="auto"/>
          <w:spacing w:val="-3"/>
          <w:sz w:val="32"/>
          <w:szCs w:val="32"/>
          <w:lang w:eastAsia="zh-CN"/>
        </w:rPr>
        <w:t>四、学生考核与评价</w:t>
      </w:r>
    </w:p>
    <w:p>
      <w:pPr>
        <w:pStyle w:val="3"/>
        <w:spacing w:before="120" w:beforeLines="50" w:after="120" w:afterLines="50" w:line="360" w:lineRule="auto"/>
        <w:ind w:left="272"/>
        <w:outlineLvl w:val="1"/>
        <w:rPr>
          <w:rFonts w:asciiTheme="minorEastAsia" w:hAnsiTheme="minorEastAsia" w:eastAsiaTheme="minorEastAsia"/>
          <w:color w:val="auto"/>
          <w:sz w:val="27"/>
          <w:szCs w:val="27"/>
          <w:lang w:eastAsia="zh-CN"/>
        </w:rPr>
      </w:pPr>
      <w:bookmarkStart w:id="10" w:name="bookmark8"/>
      <w:bookmarkEnd w:id="10"/>
      <w:r>
        <w:rPr>
          <w:rFonts w:asciiTheme="minorEastAsia" w:hAnsiTheme="minorEastAsia" w:eastAsiaTheme="minorEastAsia"/>
          <w:color w:val="auto"/>
          <w:spacing w:val="7"/>
          <w:sz w:val="27"/>
          <w:szCs w:val="27"/>
          <w:lang w:eastAsia="zh-CN"/>
        </w:rPr>
        <w:t>（一）评价原则</w:t>
      </w:r>
    </w:p>
    <w:p>
      <w:pPr>
        <w:pStyle w:val="3"/>
        <w:spacing w:before="120" w:beforeLines="50" w:after="120" w:afterLines="50" w:line="360" w:lineRule="auto"/>
        <w:ind w:left="505"/>
        <w:rPr>
          <w:rFonts w:asciiTheme="minorEastAsia" w:hAnsiTheme="minorEastAsia" w:eastAsiaTheme="minorEastAsia"/>
          <w:color w:val="auto"/>
          <w:lang w:eastAsia="zh-CN"/>
        </w:rPr>
      </w:pPr>
      <w:r>
        <w:rPr>
          <w:rFonts w:cs="Arial" w:asciiTheme="minorEastAsia" w:hAnsiTheme="minorEastAsia" w:eastAsiaTheme="minorEastAsia"/>
          <w:color w:val="auto"/>
          <w:spacing w:val="4"/>
          <w:lang w:eastAsia="zh-CN"/>
        </w:rPr>
        <w:t>1.</w:t>
      </w:r>
      <w:r>
        <w:rPr>
          <w:rFonts w:asciiTheme="minorEastAsia" w:hAnsiTheme="minorEastAsia" w:eastAsiaTheme="minorEastAsia"/>
          <w:color w:val="auto"/>
          <w:spacing w:val="4"/>
          <w:lang w:eastAsia="zh-CN"/>
        </w:rPr>
        <w:t>坚持立德树人</w:t>
      </w:r>
    </w:p>
    <w:p>
      <w:pPr>
        <w:pStyle w:val="3"/>
        <w:spacing w:before="120" w:beforeLines="50" w:after="120" w:afterLines="50" w:line="360" w:lineRule="auto"/>
        <w:jc w:val="right"/>
        <w:rPr>
          <w:rFonts w:hint="eastAsia" w:asciiTheme="minorEastAsia" w:hAnsiTheme="minorEastAsia" w:eastAsiaTheme="minorEastAsia"/>
          <w:color w:val="auto"/>
          <w:lang w:eastAsia="zh-CN"/>
        </w:rPr>
      </w:pPr>
      <w:r>
        <w:rPr>
          <w:rFonts w:asciiTheme="minorEastAsia" w:hAnsiTheme="minorEastAsia" w:eastAsiaTheme="minorEastAsia"/>
          <w:color w:val="auto"/>
          <w:spacing w:val="1"/>
          <w:lang w:eastAsia="zh-CN"/>
        </w:rPr>
        <w:t>把立德树人成效作为评价的根本标准，注重学</w:t>
      </w:r>
      <w:r>
        <w:rPr>
          <w:rFonts w:asciiTheme="minorEastAsia" w:hAnsiTheme="minorEastAsia" w:eastAsiaTheme="minorEastAsia"/>
          <w:color w:val="auto"/>
          <w:lang w:eastAsia="zh-CN"/>
        </w:rPr>
        <w:t>生理想信念、爱国情怀、品德修养和职</w:t>
      </w:r>
      <w:bookmarkStart w:id="11" w:name="bookmark18"/>
      <w:bookmarkEnd w:id="11"/>
    </w:p>
    <w:p>
      <w:pPr>
        <w:pStyle w:val="3"/>
        <w:spacing w:before="120" w:beforeLines="50" w:after="120" w:afterLines="50" w:line="360" w:lineRule="auto"/>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业道德的培育，将践行社会主义核心价值观贯穿于评价全过程。</w:t>
      </w:r>
    </w:p>
    <w:p>
      <w:pPr>
        <w:pStyle w:val="3"/>
        <w:spacing w:before="120" w:beforeLines="50" w:after="120" w:afterLines="50" w:line="360" w:lineRule="auto"/>
        <w:ind w:left="486"/>
        <w:rPr>
          <w:rFonts w:asciiTheme="minorEastAsia" w:hAnsiTheme="minorEastAsia" w:eastAsiaTheme="minorEastAsia"/>
          <w:color w:val="auto"/>
          <w:lang w:eastAsia="zh-CN"/>
        </w:rPr>
      </w:pPr>
      <w:r>
        <w:rPr>
          <w:rFonts w:cs="Arial" w:asciiTheme="minorEastAsia" w:hAnsiTheme="minorEastAsia" w:eastAsiaTheme="minorEastAsia"/>
          <w:color w:val="auto"/>
          <w:spacing w:val="6"/>
          <w:lang w:eastAsia="zh-CN"/>
        </w:rPr>
        <w:t>2.</w:t>
      </w:r>
      <w:r>
        <w:rPr>
          <w:rFonts w:asciiTheme="minorEastAsia" w:hAnsiTheme="minorEastAsia" w:eastAsiaTheme="minorEastAsia"/>
          <w:color w:val="auto"/>
          <w:spacing w:val="6"/>
          <w:lang w:eastAsia="zh-CN"/>
        </w:rPr>
        <w:t>促进全面发展</w:t>
      </w:r>
    </w:p>
    <w:p>
      <w:pPr>
        <w:pStyle w:val="3"/>
        <w:spacing w:before="120" w:beforeLines="50" w:after="120" w:afterLines="50" w:line="360" w:lineRule="auto"/>
        <w:ind w:left="1" w:firstLine="427"/>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落实德智体美劳全面发展的评价要求，注重考查学生的人文素养、科学素养、数字素</w:t>
      </w:r>
      <w:r>
        <w:rPr>
          <w:rFonts w:asciiTheme="minorEastAsia" w:hAnsiTheme="minorEastAsia" w:eastAsiaTheme="minorEastAsia"/>
          <w:color w:val="auto"/>
          <w:spacing w:val="1"/>
          <w:lang w:eastAsia="zh-CN"/>
        </w:rPr>
        <w:t>养、职业道德，爱岗敬业的职业精神和精益求精的工匠</w:t>
      </w:r>
      <w:r>
        <w:rPr>
          <w:rFonts w:asciiTheme="minorEastAsia" w:hAnsiTheme="minorEastAsia" w:eastAsiaTheme="minorEastAsia"/>
          <w:color w:val="auto"/>
          <w:lang w:eastAsia="zh-CN"/>
        </w:rPr>
        <w:t>精神，关注学生创新精神、个性发</w:t>
      </w:r>
      <w:r>
        <w:rPr>
          <w:rFonts w:asciiTheme="minorEastAsia" w:hAnsiTheme="minorEastAsia" w:eastAsiaTheme="minorEastAsia"/>
          <w:color w:val="auto"/>
          <w:spacing w:val="-1"/>
          <w:lang w:eastAsia="zh-CN"/>
        </w:rPr>
        <w:t>展与综合职业能力的达成，促进学生健康成长、全面</w:t>
      </w:r>
      <w:r>
        <w:rPr>
          <w:rFonts w:asciiTheme="minorEastAsia" w:hAnsiTheme="minorEastAsia" w:eastAsiaTheme="minorEastAsia"/>
          <w:color w:val="auto"/>
          <w:spacing w:val="-2"/>
          <w:lang w:eastAsia="zh-CN"/>
        </w:rPr>
        <w:t>发展。</w:t>
      </w:r>
    </w:p>
    <w:p>
      <w:pPr>
        <w:pStyle w:val="3"/>
        <w:spacing w:before="120" w:beforeLines="50" w:after="120" w:afterLines="50" w:line="360" w:lineRule="auto"/>
        <w:ind w:left="1" w:firstLine="427"/>
        <w:jc w:val="both"/>
        <w:rPr>
          <w:rFonts w:asciiTheme="minorEastAsia" w:hAnsiTheme="minorEastAsia" w:eastAsiaTheme="minorEastAsia"/>
          <w:color w:val="auto"/>
          <w:spacing w:val="1"/>
          <w:lang w:eastAsia="zh-CN"/>
        </w:rPr>
      </w:pPr>
      <w:r>
        <w:rPr>
          <w:rFonts w:asciiTheme="minorEastAsia" w:hAnsiTheme="minorEastAsia" w:eastAsiaTheme="minorEastAsia"/>
          <w:color w:val="auto"/>
          <w:spacing w:val="1"/>
          <w:lang w:eastAsia="zh-CN"/>
        </w:rPr>
        <w:t>3.</w:t>
      </w:r>
      <w:r>
        <w:rPr>
          <w:rFonts w:hint="eastAsia" w:asciiTheme="minorEastAsia" w:hAnsiTheme="minorEastAsia" w:eastAsiaTheme="minorEastAsia"/>
          <w:color w:val="auto"/>
          <w:spacing w:val="1"/>
          <w:lang w:eastAsia="zh-CN"/>
        </w:rPr>
        <w:t>督导评价</w:t>
      </w:r>
    </w:p>
    <w:p>
      <w:pPr>
        <w:pStyle w:val="3"/>
        <w:spacing w:before="120" w:beforeLines="50" w:after="120" w:afterLines="50" w:line="360" w:lineRule="auto"/>
        <w:ind w:firstLine="420" w:firstLineChars="0"/>
        <w:rPr>
          <w:rFonts w:hint="eastAsia" w:cs="Arial" w:asciiTheme="minorEastAsia" w:hAnsiTheme="minorEastAsia" w:eastAsiaTheme="minorEastAsia"/>
          <w:color w:val="auto"/>
          <w:spacing w:val="7"/>
        </w:rPr>
      </w:pPr>
      <w:r>
        <w:rPr>
          <w:rFonts w:hint="eastAsia" w:asciiTheme="minorEastAsia" w:hAnsiTheme="minorEastAsia" w:eastAsiaTheme="minorEastAsia"/>
          <w:color w:val="auto"/>
          <w:lang w:eastAsia="zh-CN"/>
        </w:rPr>
        <w:t>军事课纳入国家教育督导体系，定期组织军事课建设教育督导。各省级教育行政部门会同军事部门成立军事课教学督导机构，制定本地区的评价方案，定期组织军事课程督导评价，充分发挥教育督导评价的导向和激励作用。</w:t>
      </w:r>
    </w:p>
    <w:p>
      <w:pPr>
        <w:pStyle w:val="3"/>
        <w:spacing w:before="120" w:beforeLines="50" w:after="120" w:afterLines="50" w:line="360" w:lineRule="auto"/>
        <w:ind w:firstLine="420" w:firstLineChars="0"/>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eastAsia="zh-CN"/>
        </w:rPr>
        <w:t>4.</w:t>
      </w:r>
      <w:r>
        <w:rPr>
          <w:rFonts w:hint="eastAsia" w:asciiTheme="minorEastAsia" w:hAnsiTheme="minorEastAsia" w:eastAsiaTheme="minorEastAsia"/>
          <w:color w:val="auto"/>
          <w:lang w:val="en-US" w:eastAsia="zh-CN"/>
        </w:rPr>
        <w:t>建立和完善评价体系</w:t>
      </w:r>
    </w:p>
    <w:p>
      <w:pPr>
        <w:pStyle w:val="3"/>
        <w:spacing w:before="120" w:beforeLines="50" w:after="120" w:afterLines="50" w:line="360" w:lineRule="auto"/>
        <w:ind w:firstLine="420" w:firstLineChars="0"/>
        <w:rPr>
          <w:rFonts w:hint="eastAsia" w:cs="Arial" w:asciiTheme="minorEastAsia" w:hAnsiTheme="minorEastAsia" w:eastAsiaTheme="minorEastAsia"/>
          <w:color w:val="auto"/>
          <w:spacing w:val="6"/>
          <w:lang w:eastAsia="zh-CN"/>
        </w:rPr>
      </w:pPr>
      <w:r>
        <w:rPr>
          <w:rFonts w:hint="eastAsia" w:asciiTheme="minorEastAsia" w:hAnsiTheme="minorEastAsia" w:eastAsiaTheme="minorEastAsia"/>
          <w:color w:val="auto"/>
          <w:lang w:eastAsia="zh-CN"/>
        </w:rPr>
        <w:t>通过定期举办学生军事训练营等教学展示活动检验军事课教学效果。各学校要建立军事课程评价体系和管理制度，并将军事课程评价纳入学校课程评价总体框架、教学质量年度报告和</w:t>
      </w:r>
      <w:r>
        <w:rPr>
          <w:rFonts w:hint="eastAsia" w:cs="Arial" w:asciiTheme="minorEastAsia" w:hAnsiTheme="minorEastAsia" w:eastAsiaTheme="minorEastAsia"/>
          <w:color w:val="auto"/>
          <w:spacing w:val="6"/>
          <w:lang w:eastAsia="zh-CN"/>
        </w:rPr>
        <w:t>学校综合办学水平评估。完善高校军事课评价体系，把军事课纳入高校人才培养工作评估体系，作为办学评价的重要指标。</w:t>
      </w:r>
    </w:p>
    <w:p>
      <w:pPr>
        <w:pStyle w:val="3"/>
        <w:spacing w:before="120" w:beforeLines="50" w:after="120" w:afterLines="50" w:line="360" w:lineRule="auto"/>
        <w:ind w:left="271"/>
        <w:outlineLvl w:val="1"/>
        <w:rPr>
          <w:rFonts w:asciiTheme="minorEastAsia" w:hAnsiTheme="minorEastAsia" w:eastAsiaTheme="minorEastAsia"/>
          <w:color w:val="auto"/>
          <w:sz w:val="27"/>
          <w:szCs w:val="27"/>
          <w:lang w:eastAsia="zh-CN"/>
        </w:rPr>
      </w:pPr>
      <w:bookmarkStart w:id="12" w:name="bookmark9"/>
      <w:bookmarkEnd w:id="12"/>
      <w:r>
        <w:rPr>
          <w:rFonts w:asciiTheme="minorEastAsia" w:hAnsiTheme="minorEastAsia" w:eastAsiaTheme="minorEastAsia"/>
          <w:color w:val="auto"/>
          <w:spacing w:val="10"/>
          <w:sz w:val="27"/>
          <w:szCs w:val="27"/>
          <w:lang w:eastAsia="zh-CN"/>
        </w:rPr>
        <w:t>（二）评价方式</w:t>
      </w:r>
    </w:p>
    <w:p>
      <w:pPr>
        <w:pStyle w:val="3"/>
        <w:spacing w:before="120" w:beforeLines="50" w:after="120" w:afterLines="50" w:line="360" w:lineRule="auto"/>
        <w:ind w:left="503"/>
        <w:rPr>
          <w:rFonts w:asciiTheme="minorEastAsia" w:hAnsiTheme="minorEastAsia" w:eastAsiaTheme="minorEastAsia"/>
          <w:color w:val="auto"/>
          <w:lang w:eastAsia="zh-CN"/>
        </w:rPr>
      </w:pPr>
      <w:r>
        <w:rPr>
          <w:rFonts w:cs="Arial" w:asciiTheme="minorEastAsia" w:hAnsiTheme="minorEastAsia" w:eastAsiaTheme="minorEastAsia"/>
          <w:color w:val="auto"/>
          <w:spacing w:val="3"/>
          <w:lang w:eastAsia="zh-CN"/>
        </w:rPr>
        <w:t>1.</w:t>
      </w:r>
      <w:r>
        <w:rPr>
          <w:rFonts w:asciiTheme="minorEastAsia" w:hAnsiTheme="minorEastAsia" w:eastAsiaTheme="minorEastAsia"/>
          <w:color w:val="auto"/>
          <w:spacing w:val="3"/>
          <w:lang w:eastAsia="zh-CN"/>
        </w:rPr>
        <w:t>过程评价</w:t>
      </w:r>
    </w:p>
    <w:p>
      <w:pPr>
        <w:pStyle w:val="3"/>
        <w:spacing w:before="120" w:beforeLines="50" w:after="120" w:afterLines="50" w:line="360" w:lineRule="auto"/>
        <w:ind w:right="3" w:firstLine="426"/>
        <w:jc w:val="both"/>
        <w:rPr>
          <w:rFonts w:asciiTheme="minorEastAsia" w:hAnsiTheme="minorEastAsia" w:eastAsiaTheme="minorEastAsia"/>
          <w:color w:val="auto"/>
          <w:lang w:eastAsia="zh-CN"/>
        </w:rPr>
      </w:pPr>
      <w:r>
        <w:rPr>
          <w:rFonts w:asciiTheme="minorEastAsia" w:hAnsiTheme="minorEastAsia" w:eastAsiaTheme="minorEastAsia"/>
          <w:color w:val="auto"/>
          <w:spacing w:val="6"/>
          <w:lang w:eastAsia="zh-CN"/>
        </w:rPr>
        <w:t>通过课堂表现、作业完成、实训操作与项目实践等环节，重点考查学生对</w:t>
      </w:r>
      <w:r>
        <w:rPr>
          <w:rFonts w:hint="eastAsia" w:asciiTheme="minorEastAsia" w:hAnsiTheme="minorEastAsia" w:eastAsiaTheme="minorEastAsia"/>
          <w:color w:val="auto"/>
          <w:spacing w:val="6"/>
          <w:lang w:eastAsia="zh-CN"/>
        </w:rPr>
        <w:t>军事理论</w:t>
      </w:r>
      <w:r>
        <w:rPr>
          <w:rFonts w:asciiTheme="minorEastAsia" w:hAnsiTheme="minorEastAsia" w:eastAsiaTheme="minorEastAsia"/>
          <w:color w:val="auto"/>
          <w:spacing w:val="6"/>
          <w:lang w:eastAsia="zh-CN"/>
        </w:rPr>
        <w:t>基础知识的掌握程度、</w:t>
      </w:r>
      <w:r>
        <w:rPr>
          <w:rFonts w:hint="eastAsia" w:asciiTheme="minorEastAsia" w:hAnsiTheme="minorEastAsia" w:eastAsiaTheme="minorEastAsia"/>
          <w:color w:val="auto"/>
          <w:spacing w:val="6"/>
          <w:lang w:eastAsia="zh-CN"/>
        </w:rPr>
        <w:t>军事技能</w:t>
      </w:r>
      <w:r>
        <w:rPr>
          <w:rFonts w:asciiTheme="minorEastAsia" w:hAnsiTheme="minorEastAsia" w:eastAsiaTheme="minorEastAsia"/>
          <w:color w:val="auto"/>
          <w:spacing w:val="6"/>
          <w:lang w:eastAsia="zh-CN"/>
        </w:rPr>
        <w:t>的</w:t>
      </w:r>
      <w:r>
        <w:rPr>
          <w:rFonts w:hint="eastAsia" w:asciiTheme="minorEastAsia" w:hAnsiTheme="minorEastAsia" w:eastAsiaTheme="minorEastAsia"/>
          <w:color w:val="auto"/>
          <w:spacing w:val="6"/>
          <w:lang w:val="en-US" w:eastAsia="zh-CN"/>
        </w:rPr>
        <w:t>训练</w:t>
      </w:r>
      <w:r>
        <w:rPr>
          <w:rFonts w:asciiTheme="minorEastAsia" w:hAnsiTheme="minorEastAsia" w:eastAsiaTheme="minorEastAsia"/>
          <w:color w:val="auto"/>
          <w:spacing w:val="6"/>
          <w:lang w:eastAsia="zh-CN"/>
        </w:rPr>
        <w:t>水平，以及严谨合规、沟通协作等职业素养的综</w:t>
      </w:r>
      <w:r>
        <w:rPr>
          <w:rFonts w:asciiTheme="minorEastAsia" w:hAnsiTheme="minorEastAsia" w:eastAsiaTheme="minorEastAsia"/>
          <w:color w:val="auto"/>
          <w:spacing w:val="-3"/>
          <w:lang w:eastAsia="zh-CN"/>
        </w:rPr>
        <w:t>合表现。</w:t>
      </w:r>
    </w:p>
    <w:p>
      <w:pPr>
        <w:pStyle w:val="3"/>
        <w:spacing w:before="120" w:beforeLines="50" w:after="120" w:afterLines="50" w:line="360" w:lineRule="auto"/>
        <w:ind w:left="486"/>
        <w:rPr>
          <w:rFonts w:asciiTheme="minorEastAsia" w:hAnsiTheme="minorEastAsia" w:eastAsiaTheme="minorEastAsia"/>
          <w:color w:val="auto"/>
          <w:lang w:eastAsia="zh-CN"/>
        </w:rPr>
      </w:pPr>
      <w:r>
        <w:rPr>
          <w:rFonts w:cs="Arial" w:asciiTheme="minorEastAsia" w:hAnsiTheme="minorEastAsia" w:eastAsiaTheme="minorEastAsia"/>
          <w:color w:val="auto"/>
          <w:spacing w:val="5"/>
          <w:lang w:eastAsia="zh-CN"/>
        </w:rPr>
        <w:t>2.</w:t>
      </w:r>
      <w:r>
        <w:rPr>
          <w:rFonts w:asciiTheme="minorEastAsia" w:hAnsiTheme="minorEastAsia" w:eastAsiaTheme="minorEastAsia"/>
          <w:color w:val="auto"/>
          <w:spacing w:val="5"/>
          <w:lang w:eastAsia="zh-CN"/>
        </w:rPr>
        <w:t>结果评价</w:t>
      </w:r>
    </w:p>
    <w:p>
      <w:pPr>
        <w:pStyle w:val="3"/>
        <w:spacing w:before="120" w:beforeLines="50" w:after="120" w:afterLines="50" w:line="360" w:lineRule="auto"/>
        <w:ind w:left="1" w:firstLine="424"/>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采用技能考核、模拟操作等方式，检验学生在</w:t>
      </w:r>
      <w:r>
        <w:rPr>
          <w:rFonts w:hint="eastAsia" w:asciiTheme="minorEastAsia" w:hAnsiTheme="minorEastAsia" w:eastAsiaTheme="minorEastAsia"/>
          <w:color w:val="auto"/>
          <w:spacing w:val="1"/>
          <w:lang w:val="en-US" w:eastAsia="zh-CN"/>
        </w:rPr>
        <w:t>掌握中国国防知识</w:t>
      </w:r>
      <w:r>
        <w:rPr>
          <w:rFonts w:asciiTheme="minorEastAsia" w:hAnsiTheme="minorEastAsia" w:eastAsiaTheme="minorEastAsia"/>
          <w:color w:val="auto"/>
          <w:lang w:eastAsia="zh-CN"/>
        </w:rPr>
        <w:t>、</w:t>
      </w:r>
      <w:r>
        <w:rPr>
          <w:rFonts w:hint="eastAsia" w:asciiTheme="minorEastAsia" w:hAnsiTheme="minorEastAsia" w:eastAsiaTheme="minorEastAsia"/>
          <w:color w:val="auto"/>
          <w:lang w:val="en-US" w:eastAsia="zh-CN"/>
        </w:rPr>
        <w:t>国家安全形势、近现代军事思想、了解信息化战争和信息化装备</w:t>
      </w:r>
      <w:r>
        <w:rPr>
          <w:rFonts w:hint="eastAsia" w:asciiTheme="minorEastAsia" w:hAnsiTheme="minorEastAsia" w:eastAsiaTheme="minorEastAsia"/>
          <w:color w:val="auto"/>
          <w:lang w:eastAsia="zh-CN"/>
        </w:rPr>
        <w:t>的</w:t>
      </w:r>
      <w:r>
        <w:rPr>
          <w:rFonts w:hint="eastAsia" w:asciiTheme="minorEastAsia" w:hAnsiTheme="minorEastAsia" w:eastAsiaTheme="minorEastAsia"/>
          <w:color w:val="auto"/>
          <w:lang w:val="en-US" w:eastAsia="zh-CN"/>
        </w:rPr>
        <w:t>基础知识，</w:t>
      </w:r>
      <w:r>
        <w:rPr>
          <w:rFonts w:hint="eastAsia" w:asciiTheme="minorEastAsia" w:hAnsiTheme="minorEastAsia" w:eastAsiaTheme="minorEastAsia"/>
          <w:color w:val="auto"/>
          <w:spacing w:val="-1"/>
          <w:lang w:val="en-US" w:eastAsia="zh-CN"/>
        </w:rPr>
        <w:t>对共同条令训练、射击与战术训练、防卫技能和战备基础技能的实训能力</w:t>
      </w:r>
      <w:r>
        <w:rPr>
          <w:rFonts w:asciiTheme="minorEastAsia" w:hAnsiTheme="minorEastAsia" w:eastAsiaTheme="minorEastAsia"/>
          <w:color w:val="auto"/>
          <w:spacing w:val="-2"/>
          <w:lang w:eastAsia="zh-CN"/>
        </w:rPr>
        <w:t>。</w:t>
      </w:r>
    </w:p>
    <w:p>
      <w:pPr>
        <w:pStyle w:val="3"/>
        <w:spacing w:before="120" w:beforeLines="50" w:after="120" w:afterLines="50" w:line="360" w:lineRule="auto"/>
        <w:ind w:left="489"/>
        <w:rPr>
          <w:rFonts w:asciiTheme="minorEastAsia" w:hAnsiTheme="minorEastAsia" w:eastAsiaTheme="minorEastAsia"/>
          <w:color w:val="auto"/>
          <w:lang w:eastAsia="zh-CN"/>
        </w:rPr>
      </w:pPr>
      <w:r>
        <w:rPr>
          <w:rFonts w:cs="Arial" w:asciiTheme="minorEastAsia" w:hAnsiTheme="minorEastAsia" w:eastAsiaTheme="minorEastAsia"/>
          <w:color w:val="auto"/>
          <w:spacing w:val="5"/>
          <w:position w:val="4"/>
          <w:lang w:eastAsia="zh-CN"/>
        </w:rPr>
        <w:t>3.</w:t>
      </w:r>
      <w:r>
        <w:rPr>
          <w:rFonts w:asciiTheme="minorEastAsia" w:hAnsiTheme="minorEastAsia" w:eastAsiaTheme="minorEastAsia"/>
          <w:color w:val="auto"/>
          <w:spacing w:val="5"/>
          <w:position w:val="4"/>
          <w:lang w:eastAsia="zh-CN"/>
        </w:rPr>
        <w:t>增值评价</w:t>
      </w:r>
    </w:p>
    <w:p>
      <w:pPr>
        <w:pStyle w:val="3"/>
        <w:spacing w:before="120" w:beforeLines="50" w:after="120" w:afterLines="50" w:line="360" w:lineRule="auto"/>
        <w:ind w:left="1" w:firstLine="426"/>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重点考查学生</w:t>
      </w:r>
      <w:r>
        <w:rPr>
          <w:rFonts w:hint="eastAsia" w:asciiTheme="minorEastAsia" w:hAnsiTheme="minorEastAsia" w:eastAsiaTheme="minorEastAsia"/>
          <w:color w:val="auto"/>
          <w:spacing w:val="1"/>
          <w:lang w:val="en-US" w:eastAsia="zh-CN"/>
        </w:rPr>
        <w:t>对中国国家安全、当代中国军事思想、打赢现代化战争和信息战争的关键认知和分析预判能力</w:t>
      </w:r>
      <w:r>
        <w:rPr>
          <w:rFonts w:asciiTheme="minorEastAsia" w:hAnsiTheme="minorEastAsia" w:eastAsiaTheme="minorEastAsia"/>
          <w:color w:val="auto"/>
          <w:spacing w:val="-2"/>
          <w:lang w:eastAsia="zh-CN"/>
        </w:rPr>
        <w:t>，关注个体</w:t>
      </w:r>
      <w:r>
        <w:rPr>
          <w:rFonts w:hint="eastAsia" w:asciiTheme="minorEastAsia" w:hAnsiTheme="minorEastAsia" w:eastAsiaTheme="minorEastAsia"/>
          <w:color w:val="auto"/>
          <w:spacing w:val="-2"/>
          <w:lang w:val="en-US" w:eastAsia="zh-CN"/>
        </w:rPr>
        <w:t>军事训练能力和实战素质</w:t>
      </w:r>
      <w:r>
        <w:rPr>
          <w:rFonts w:asciiTheme="minorEastAsia" w:hAnsiTheme="minorEastAsia" w:eastAsiaTheme="minorEastAsia"/>
          <w:color w:val="auto"/>
          <w:spacing w:val="-2"/>
          <w:lang w:eastAsia="zh-CN"/>
        </w:rPr>
        <w:t>，</w:t>
      </w:r>
      <w:r>
        <w:rPr>
          <w:rFonts w:hint="eastAsia" w:asciiTheme="minorEastAsia" w:hAnsiTheme="minorEastAsia" w:eastAsiaTheme="minorEastAsia"/>
          <w:color w:val="auto"/>
          <w:spacing w:val="-2"/>
          <w:lang w:val="en-US" w:eastAsia="zh-CN"/>
        </w:rPr>
        <w:t>整体提升学生的军事素养和思政素养</w:t>
      </w:r>
      <w:r>
        <w:rPr>
          <w:rFonts w:asciiTheme="minorEastAsia" w:hAnsiTheme="minorEastAsia" w:eastAsiaTheme="minorEastAsia"/>
          <w:color w:val="auto"/>
          <w:spacing w:val="-2"/>
          <w:lang w:eastAsia="zh-CN"/>
        </w:rPr>
        <w:t>。</w:t>
      </w:r>
    </w:p>
    <w:p>
      <w:pPr>
        <w:pStyle w:val="3"/>
        <w:spacing w:before="120" w:beforeLines="50" w:after="120" w:afterLines="50" w:line="360" w:lineRule="auto"/>
        <w:ind w:left="484"/>
        <w:rPr>
          <w:rFonts w:asciiTheme="minorEastAsia" w:hAnsiTheme="minorEastAsia" w:eastAsiaTheme="minorEastAsia"/>
          <w:color w:val="auto"/>
          <w:lang w:eastAsia="zh-CN"/>
        </w:rPr>
      </w:pPr>
      <w:r>
        <w:rPr>
          <w:rFonts w:cs="Arial" w:asciiTheme="minorEastAsia" w:hAnsiTheme="minorEastAsia" w:eastAsiaTheme="minorEastAsia"/>
          <w:color w:val="auto"/>
          <w:spacing w:val="6"/>
          <w:lang w:eastAsia="zh-CN"/>
        </w:rPr>
        <w:t>4.</w:t>
      </w:r>
      <w:r>
        <w:rPr>
          <w:rFonts w:asciiTheme="minorEastAsia" w:hAnsiTheme="minorEastAsia" w:eastAsiaTheme="minorEastAsia"/>
          <w:color w:val="auto"/>
          <w:spacing w:val="6"/>
          <w:lang w:eastAsia="zh-CN"/>
        </w:rPr>
        <w:t>综合评价</w:t>
      </w:r>
    </w:p>
    <w:p>
      <w:pPr>
        <w:pStyle w:val="3"/>
        <w:spacing w:before="120" w:beforeLines="50" w:after="120" w:afterLines="50" w:line="360" w:lineRule="auto"/>
        <w:ind w:left="4" w:firstLine="423"/>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不仅关注知识的学习、技能的训练，还要注重</w:t>
      </w:r>
      <w:r>
        <w:rPr>
          <w:rFonts w:asciiTheme="minorEastAsia" w:hAnsiTheme="minorEastAsia" w:eastAsiaTheme="minorEastAsia"/>
          <w:color w:val="auto"/>
          <w:lang w:eastAsia="zh-CN"/>
        </w:rPr>
        <w:t>职业综合素质和行动能力的培养，促进</w:t>
      </w:r>
      <w:r>
        <w:rPr>
          <w:rFonts w:asciiTheme="minorEastAsia" w:hAnsiTheme="minorEastAsia" w:eastAsiaTheme="minorEastAsia"/>
          <w:color w:val="auto"/>
          <w:spacing w:val="-4"/>
          <w:lang w:eastAsia="zh-CN"/>
        </w:rPr>
        <w:t>学生全面发展。</w:t>
      </w:r>
    </w:p>
    <w:p>
      <w:pPr>
        <w:pStyle w:val="3"/>
        <w:spacing w:before="120" w:beforeLines="50" w:after="120" w:afterLines="50" w:line="360" w:lineRule="auto"/>
        <w:ind w:left="272"/>
        <w:outlineLvl w:val="1"/>
        <w:rPr>
          <w:rFonts w:asciiTheme="minorEastAsia" w:hAnsiTheme="minorEastAsia" w:eastAsiaTheme="minorEastAsia"/>
          <w:color w:val="auto"/>
          <w:sz w:val="27"/>
          <w:szCs w:val="27"/>
          <w:lang w:eastAsia="zh-CN"/>
        </w:rPr>
      </w:pPr>
      <w:bookmarkStart w:id="13" w:name="bookmark10"/>
      <w:bookmarkEnd w:id="13"/>
      <w:r>
        <w:rPr>
          <w:rFonts w:asciiTheme="minorEastAsia" w:hAnsiTheme="minorEastAsia" w:eastAsiaTheme="minorEastAsia"/>
          <w:color w:val="auto"/>
          <w:spacing w:val="6"/>
          <w:sz w:val="27"/>
          <w:szCs w:val="27"/>
          <w:lang w:eastAsia="zh-CN"/>
        </w:rPr>
        <w:t>（三）评价结果运用</w:t>
      </w:r>
    </w:p>
    <w:p>
      <w:pPr>
        <w:pStyle w:val="3"/>
        <w:spacing w:before="120" w:beforeLines="50" w:after="120" w:afterLines="50" w:line="360" w:lineRule="auto"/>
        <w:ind w:left="505"/>
        <w:rPr>
          <w:rFonts w:asciiTheme="minorEastAsia" w:hAnsiTheme="minorEastAsia" w:eastAsiaTheme="minorEastAsia"/>
          <w:color w:val="auto"/>
          <w:lang w:eastAsia="zh-CN"/>
        </w:rPr>
      </w:pPr>
      <w:r>
        <w:rPr>
          <w:rFonts w:cs="Arial" w:asciiTheme="minorEastAsia" w:hAnsiTheme="minorEastAsia" w:eastAsiaTheme="minorEastAsia"/>
          <w:color w:val="auto"/>
          <w:spacing w:val="4"/>
          <w:lang w:eastAsia="zh-CN"/>
        </w:rPr>
        <w:t>1.</w:t>
      </w:r>
      <w:r>
        <w:rPr>
          <w:rFonts w:asciiTheme="minorEastAsia" w:hAnsiTheme="minorEastAsia" w:eastAsiaTheme="minorEastAsia"/>
          <w:color w:val="auto"/>
          <w:spacing w:val="4"/>
          <w:lang w:eastAsia="zh-CN"/>
        </w:rPr>
        <w:t>服务学生发展</w:t>
      </w:r>
    </w:p>
    <w:p>
      <w:pPr>
        <w:pStyle w:val="3"/>
        <w:spacing w:before="120" w:beforeLines="50" w:after="120" w:afterLines="50" w:line="360" w:lineRule="auto"/>
        <w:ind w:left="3" w:firstLine="425"/>
        <w:rPr>
          <w:rFonts w:hint="eastAsia" w:asciiTheme="minorEastAsia" w:hAnsiTheme="minorEastAsia" w:eastAsiaTheme="minorEastAsia"/>
          <w:color w:val="auto"/>
          <w:spacing w:val="1"/>
          <w:lang w:val="en-US" w:eastAsia="zh-CN"/>
        </w:rPr>
      </w:pPr>
      <w:r>
        <w:rPr>
          <w:rFonts w:asciiTheme="minorEastAsia" w:hAnsiTheme="minorEastAsia" w:eastAsiaTheme="minorEastAsia"/>
          <w:color w:val="auto"/>
          <w:spacing w:val="1"/>
          <w:lang w:eastAsia="zh-CN"/>
        </w:rPr>
        <w:t>通过评价结果帮助学生认识在</w:t>
      </w:r>
      <w:r>
        <w:rPr>
          <w:rFonts w:hint="eastAsia" w:asciiTheme="minorEastAsia" w:hAnsiTheme="minorEastAsia" w:eastAsiaTheme="minorEastAsia"/>
          <w:color w:val="auto"/>
          <w:spacing w:val="1"/>
          <w:lang w:val="en-US" w:eastAsia="zh-CN"/>
        </w:rPr>
        <w:t>国防安全知识、中国当代军事思想、共同条令教育</w:t>
      </w:r>
    </w:p>
    <w:p>
      <w:pPr>
        <w:pStyle w:val="3"/>
        <w:spacing w:before="120" w:beforeLines="50" w:after="120" w:afterLines="50" w:line="360" w:lineRule="auto"/>
        <w:rPr>
          <w:rFonts w:hint="eastAsia" w:asciiTheme="minorEastAsia" w:hAnsiTheme="minorEastAsia" w:eastAsiaTheme="minorEastAsia"/>
          <w:color w:val="auto"/>
          <w:spacing w:val="-1"/>
          <w:lang w:eastAsia="zh-CN"/>
        </w:rPr>
      </w:pPr>
      <w:r>
        <w:rPr>
          <w:rFonts w:hint="eastAsia" w:asciiTheme="minorEastAsia" w:hAnsiTheme="minorEastAsia" w:eastAsiaTheme="minorEastAsia"/>
          <w:color w:val="auto"/>
          <w:spacing w:val="1"/>
          <w:lang w:val="en-US" w:eastAsia="zh-CN"/>
        </w:rPr>
        <w:t>与训练等</w:t>
      </w:r>
      <w:r>
        <w:rPr>
          <w:rFonts w:asciiTheme="minorEastAsia" w:hAnsiTheme="minorEastAsia" w:eastAsiaTheme="minorEastAsia"/>
          <w:color w:val="auto"/>
          <w:spacing w:val="-1"/>
          <w:lang w:eastAsia="zh-CN"/>
        </w:rPr>
        <w:t>方面的优势与不足，为其调整学习策略、明确</w:t>
      </w:r>
      <w:r>
        <w:rPr>
          <w:rFonts w:hint="eastAsia" w:asciiTheme="minorEastAsia" w:hAnsiTheme="minorEastAsia" w:eastAsiaTheme="minorEastAsia"/>
          <w:color w:val="auto"/>
          <w:spacing w:val="-1"/>
          <w:lang w:val="en-US" w:eastAsia="zh-CN"/>
        </w:rPr>
        <w:t>军事素养发展</w:t>
      </w:r>
      <w:r>
        <w:rPr>
          <w:rFonts w:asciiTheme="minorEastAsia" w:hAnsiTheme="minorEastAsia" w:eastAsiaTheme="minorEastAsia"/>
          <w:color w:val="auto"/>
          <w:spacing w:val="-1"/>
          <w:lang w:eastAsia="zh-CN"/>
        </w:rPr>
        <w:t>及实现个性化成长提供依据。</w:t>
      </w:r>
    </w:p>
    <w:p>
      <w:pPr>
        <w:pStyle w:val="3"/>
        <w:spacing w:before="120" w:beforeLines="50" w:after="120" w:afterLines="50" w:line="360" w:lineRule="auto"/>
        <w:ind w:left="3" w:firstLine="425"/>
        <w:rPr>
          <w:rFonts w:asciiTheme="minorEastAsia" w:hAnsiTheme="minorEastAsia" w:eastAsiaTheme="minorEastAsia"/>
          <w:color w:val="auto"/>
        </w:rPr>
      </w:pPr>
      <w:r>
        <w:rPr>
          <w:rFonts w:cs="Arial" w:asciiTheme="minorEastAsia" w:hAnsiTheme="minorEastAsia" w:eastAsiaTheme="minorEastAsia"/>
          <w:color w:val="auto"/>
          <w:spacing w:val="6"/>
        </w:rPr>
        <w:t>2.</w:t>
      </w:r>
      <w:r>
        <w:rPr>
          <w:rFonts w:asciiTheme="minorEastAsia" w:hAnsiTheme="minorEastAsia" w:eastAsiaTheme="minorEastAsia"/>
          <w:color w:val="auto"/>
          <w:spacing w:val="6"/>
        </w:rPr>
        <w:t>改进教学工作</w:t>
      </w:r>
    </w:p>
    <w:p>
      <w:pPr>
        <w:pStyle w:val="3"/>
        <w:spacing w:before="120" w:beforeLines="50" w:after="120" w:afterLines="50" w:line="360" w:lineRule="auto"/>
        <w:ind w:left="1" w:firstLine="427"/>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教师根据学生在运用借贷记账法完成会计主体</w:t>
      </w:r>
      <w:r>
        <w:rPr>
          <w:rFonts w:asciiTheme="minorEastAsia" w:hAnsiTheme="minorEastAsia" w:eastAsiaTheme="minorEastAsia"/>
          <w:color w:val="auto"/>
          <w:lang w:eastAsia="zh-CN"/>
        </w:rPr>
        <w:t>典型经济业务的会计处理以及正确处理</w:t>
      </w:r>
      <w:r>
        <w:rPr>
          <w:rFonts w:asciiTheme="minorEastAsia" w:hAnsiTheme="minorEastAsia" w:eastAsiaTheme="minorEastAsia"/>
          <w:color w:val="auto"/>
          <w:spacing w:val="-1"/>
          <w:lang w:eastAsia="zh-CN"/>
        </w:rPr>
        <w:t>证账表会计流程等方面的评价结果，及时调整教学</w:t>
      </w:r>
      <w:r>
        <w:rPr>
          <w:rFonts w:asciiTheme="minorEastAsia" w:hAnsiTheme="minorEastAsia" w:eastAsiaTheme="minorEastAsia"/>
          <w:color w:val="auto"/>
          <w:spacing w:val="-2"/>
          <w:lang w:eastAsia="zh-CN"/>
        </w:rPr>
        <w:t>策略。</w:t>
      </w:r>
    </w:p>
    <w:p>
      <w:pPr>
        <w:pStyle w:val="3"/>
        <w:spacing w:before="120" w:beforeLines="50" w:after="120" w:afterLines="50" w:line="360" w:lineRule="auto"/>
        <w:ind w:left="490"/>
        <w:rPr>
          <w:rFonts w:asciiTheme="minorEastAsia" w:hAnsiTheme="minorEastAsia" w:eastAsiaTheme="minorEastAsia"/>
          <w:color w:val="auto"/>
          <w:lang w:eastAsia="zh-CN"/>
        </w:rPr>
      </w:pPr>
      <w:r>
        <w:rPr>
          <w:rFonts w:cs="Arial" w:asciiTheme="minorEastAsia" w:hAnsiTheme="minorEastAsia" w:eastAsiaTheme="minorEastAsia"/>
          <w:color w:val="auto"/>
          <w:spacing w:val="6"/>
          <w:position w:val="4"/>
          <w:lang w:eastAsia="zh-CN"/>
        </w:rPr>
        <w:t>3.</w:t>
      </w:r>
      <w:r>
        <w:rPr>
          <w:rFonts w:asciiTheme="minorEastAsia" w:hAnsiTheme="minorEastAsia" w:eastAsiaTheme="minorEastAsia"/>
          <w:color w:val="auto"/>
          <w:spacing w:val="6"/>
          <w:position w:val="4"/>
          <w:lang w:eastAsia="zh-CN"/>
        </w:rPr>
        <w:t>完善课程建设</w:t>
      </w:r>
    </w:p>
    <w:p>
      <w:pPr>
        <w:pStyle w:val="3"/>
        <w:spacing w:before="120" w:beforeLines="50" w:after="120" w:afterLines="50" w:line="360" w:lineRule="auto"/>
        <w:ind w:left="4" w:firstLine="421"/>
        <w:jc w:val="both"/>
        <w:rPr>
          <w:rFonts w:asciiTheme="minorEastAsia" w:hAnsiTheme="minorEastAsia" w:eastAsiaTheme="minorEastAsia"/>
          <w:color w:val="auto"/>
          <w:lang w:eastAsia="zh-CN"/>
        </w:rPr>
      </w:pPr>
      <w:r>
        <w:rPr>
          <w:rFonts w:hint="eastAsia" w:asciiTheme="minorEastAsia" w:hAnsiTheme="minorEastAsia" w:eastAsiaTheme="minorEastAsia"/>
          <w:color w:val="auto"/>
          <w:spacing w:val="1"/>
          <w:lang w:val="en-US" w:eastAsia="zh-CN"/>
        </w:rPr>
        <w:t>结合</w:t>
      </w:r>
      <w:r>
        <w:rPr>
          <w:rFonts w:asciiTheme="minorEastAsia" w:hAnsiTheme="minorEastAsia" w:eastAsiaTheme="minorEastAsia"/>
          <w:color w:val="auto"/>
          <w:spacing w:val="1"/>
          <w:lang w:eastAsia="zh-CN"/>
        </w:rPr>
        <w:t>过程评价</w:t>
      </w:r>
      <w:r>
        <w:rPr>
          <w:rFonts w:hint="eastAsia" w:asciiTheme="minorEastAsia" w:hAnsiTheme="minorEastAsia" w:eastAsiaTheme="minorEastAsia"/>
          <w:color w:val="auto"/>
          <w:spacing w:val="1"/>
          <w:lang w:val="en-US" w:eastAsia="zh-CN"/>
        </w:rPr>
        <w:t>和</w:t>
      </w:r>
      <w:r>
        <w:rPr>
          <w:rFonts w:asciiTheme="minorEastAsia" w:hAnsiTheme="minorEastAsia" w:eastAsiaTheme="minorEastAsia"/>
          <w:color w:val="auto"/>
          <w:spacing w:val="1"/>
          <w:lang w:eastAsia="zh-CN"/>
        </w:rPr>
        <w:t>结果评价等</w:t>
      </w:r>
      <w:r>
        <w:rPr>
          <w:rFonts w:asciiTheme="minorEastAsia" w:hAnsiTheme="minorEastAsia" w:eastAsiaTheme="minorEastAsia"/>
          <w:color w:val="auto"/>
          <w:lang w:eastAsia="zh-CN"/>
        </w:rPr>
        <w:t>多维度数据，系统分析后作为优化教</w:t>
      </w:r>
      <w:r>
        <w:rPr>
          <w:rFonts w:asciiTheme="minorEastAsia" w:hAnsiTheme="minorEastAsia" w:eastAsiaTheme="minorEastAsia"/>
          <w:color w:val="auto"/>
          <w:spacing w:val="-1"/>
          <w:lang w:eastAsia="zh-CN"/>
        </w:rPr>
        <w:t>学内容、完善教学设计、开发教学资源和创新教学方法的重要参考。</w:t>
      </w:r>
    </w:p>
    <w:p>
      <w:pPr>
        <w:pStyle w:val="3"/>
        <w:spacing w:before="120" w:beforeLines="50" w:after="120" w:afterLines="50" w:line="360" w:lineRule="auto"/>
        <w:ind w:left="7"/>
        <w:outlineLvl w:val="0"/>
        <w:rPr>
          <w:rFonts w:asciiTheme="minorEastAsia" w:hAnsiTheme="minorEastAsia" w:eastAsiaTheme="minorEastAsia"/>
          <w:color w:val="auto"/>
          <w:sz w:val="32"/>
          <w:szCs w:val="32"/>
          <w:lang w:eastAsia="zh-CN"/>
        </w:rPr>
      </w:pPr>
      <w:bookmarkStart w:id="14" w:name="bookmark11"/>
      <w:bookmarkEnd w:id="14"/>
      <w:r>
        <w:rPr>
          <w:rFonts w:asciiTheme="minorEastAsia" w:hAnsiTheme="minorEastAsia" w:eastAsiaTheme="minorEastAsia"/>
          <w:color w:val="auto"/>
          <w:spacing w:val="-1"/>
          <w:sz w:val="32"/>
          <w:szCs w:val="32"/>
          <w:lang w:eastAsia="zh-CN"/>
        </w:rPr>
        <w:t>五、课程实施与保障</w:t>
      </w:r>
    </w:p>
    <w:p>
      <w:pPr>
        <w:pStyle w:val="3"/>
        <w:spacing w:before="120" w:beforeLines="50" w:after="120" w:afterLines="50" w:line="360" w:lineRule="auto"/>
        <w:ind w:left="272"/>
        <w:outlineLvl w:val="1"/>
        <w:rPr>
          <w:rFonts w:asciiTheme="minorEastAsia" w:hAnsiTheme="minorEastAsia" w:eastAsiaTheme="minorEastAsia"/>
          <w:color w:val="auto"/>
          <w:sz w:val="27"/>
          <w:szCs w:val="27"/>
          <w:lang w:eastAsia="zh-CN"/>
        </w:rPr>
      </w:pPr>
      <w:bookmarkStart w:id="15" w:name="bookmark12"/>
      <w:bookmarkEnd w:id="15"/>
      <w:r>
        <w:rPr>
          <w:rFonts w:asciiTheme="minorEastAsia" w:hAnsiTheme="minorEastAsia" w:eastAsiaTheme="minorEastAsia"/>
          <w:color w:val="auto"/>
          <w:spacing w:val="10"/>
          <w:sz w:val="27"/>
          <w:szCs w:val="27"/>
          <w:lang w:eastAsia="zh-CN"/>
        </w:rPr>
        <w:t>（一）课程实施</w:t>
      </w:r>
    </w:p>
    <w:p>
      <w:pPr>
        <w:pStyle w:val="3"/>
        <w:spacing w:before="120" w:beforeLines="50" w:after="120" w:afterLines="50" w:line="360" w:lineRule="auto"/>
        <w:ind w:left="505"/>
        <w:rPr>
          <w:rFonts w:asciiTheme="minorEastAsia" w:hAnsiTheme="minorEastAsia" w:eastAsiaTheme="minorEastAsia"/>
          <w:color w:val="auto"/>
          <w:lang w:eastAsia="zh-CN"/>
        </w:rPr>
      </w:pPr>
      <w:r>
        <w:rPr>
          <w:rFonts w:cs="Arial" w:asciiTheme="minorEastAsia" w:hAnsiTheme="minorEastAsia" w:eastAsiaTheme="minorEastAsia"/>
          <w:color w:val="auto"/>
          <w:spacing w:val="3"/>
          <w:lang w:eastAsia="zh-CN"/>
        </w:rPr>
        <w:t>1.</w:t>
      </w:r>
      <w:r>
        <w:rPr>
          <w:rFonts w:asciiTheme="minorEastAsia" w:hAnsiTheme="minorEastAsia" w:eastAsiaTheme="minorEastAsia"/>
          <w:color w:val="auto"/>
          <w:spacing w:val="3"/>
          <w:lang w:eastAsia="zh-CN"/>
        </w:rPr>
        <w:t>教学要求</w:t>
      </w:r>
    </w:p>
    <w:p>
      <w:pPr>
        <w:pStyle w:val="3"/>
        <w:spacing w:before="120" w:beforeLines="50" w:after="120" w:afterLines="50" w:line="360" w:lineRule="auto"/>
        <w:ind w:firstLine="430"/>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落实立德树人根本任务，根据本课程目标、内容特点和学生认知基础，以学生为中心</w:t>
      </w:r>
      <w:r>
        <w:rPr>
          <w:rFonts w:asciiTheme="minorEastAsia" w:hAnsiTheme="minorEastAsia" w:eastAsiaTheme="minorEastAsia"/>
          <w:color w:val="auto"/>
          <w:spacing w:val="1"/>
          <w:lang w:eastAsia="zh-CN"/>
        </w:rPr>
        <w:t>设计教学活动。有机融入严谨细致、诚信守法、准则意识等思政</w:t>
      </w:r>
      <w:r>
        <w:rPr>
          <w:rFonts w:asciiTheme="minorEastAsia" w:hAnsiTheme="minorEastAsia" w:eastAsiaTheme="minorEastAsia"/>
          <w:color w:val="auto"/>
          <w:lang w:eastAsia="zh-CN"/>
        </w:rPr>
        <w:t>元素。对接会计核算职业能力要求，贯彻理实一体化理念，</w:t>
      </w:r>
      <w:r>
        <w:rPr>
          <w:rFonts w:asciiTheme="minorEastAsia" w:hAnsiTheme="minorEastAsia" w:eastAsiaTheme="minorEastAsia"/>
          <w:color w:val="auto"/>
          <w:spacing w:val="-35"/>
          <w:lang w:eastAsia="zh-CN"/>
        </w:rPr>
        <w:t xml:space="preserve"> </w:t>
      </w:r>
      <w:r>
        <w:rPr>
          <w:rFonts w:asciiTheme="minorEastAsia" w:hAnsiTheme="minorEastAsia" w:eastAsiaTheme="minorEastAsia"/>
          <w:color w:val="auto"/>
          <w:lang w:eastAsia="zh-CN"/>
        </w:rPr>
        <w:t>以会计主体典型经济业务为载体，通过案例教学、情景</w:t>
      </w:r>
      <w:r>
        <w:rPr>
          <w:rFonts w:asciiTheme="minorEastAsia" w:hAnsiTheme="minorEastAsia" w:eastAsiaTheme="minorEastAsia"/>
          <w:color w:val="auto"/>
          <w:spacing w:val="1"/>
          <w:lang w:eastAsia="zh-CN"/>
        </w:rPr>
        <w:t>模拟、实操演练等方式，引导学生在解决问题中掌握凭证处理、</w:t>
      </w:r>
      <w:r>
        <w:rPr>
          <w:rFonts w:asciiTheme="minorEastAsia" w:hAnsiTheme="minorEastAsia" w:eastAsiaTheme="minorEastAsia"/>
          <w:color w:val="auto"/>
          <w:lang w:eastAsia="zh-CN"/>
        </w:rPr>
        <w:t>账簿登记等操作的会计核</w:t>
      </w:r>
      <w:r>
        <w:rPr>
          <w:rFonts w:asciiTheme="minorEastAsia" w:hAnsiTheme="minorEastAsia" w:eastAsiaTheme="minorEastAsia"/>
          <w:color w:val="auto"/>
          <w:spacing w:val="-1"/>
          <w:lang w:eastAsia="zh-CN"/>
        </w:rPr>
        <w:t>算方法及综合应用。积极运用现代信息技术，优化理论学习、技能操作和实践应用过程。</w:t>
      </w:r>
    </w:p>
    <w:p>
      <w:pPr>
        <w:pStyle w:val="3"/>
        <w:spacing w:before="120" w:beforeLines="50" w:after="120" w:afterLines="50" w:line="360" w:lineRule="auto"/>
        <w:ind w:left="487"/>
        <w:rPr>
          <w:rFonts w:asciiTheme="minorEastAsia" w:hAnsiTheme="minorEastAsia" w:eastAsiaTheme="minorEastAsia"/>
          <w:color w:val="auto"/>
          <w:lang w:eastAsia="zh-CN"/>
        </w:rPr>
      </w:pPr>
      <w:r>
        <w:rPr>
          <w:rFonts w:cs="Arial" w:asciiTheme="minorEastAsia" w:hAnsiTheme="minorEastAsia" w:eastAsiaTheme="minorEastAsia"/>
          <w:color w:val="auto"/>
          <w:spacing w:val="6"/>
          <w:lang w:eastAsia="zh-CN"/>
        </w:rPr>
        <w:t>2.</w:t>
      </w:r>
      <w:r>
        <w:rPr>
          <w:rFonts w:asciiTheme="minorEastAsia" w:hAnsiTheme="minorEastAsia" w:eastAsiaTheme="minorEastAsia"/>
          <w:color w:val="auto"/>
          <w:spacing w:val="6"/>
          <w:lang w:eastAsia="zh-CN"/>
        </w:rPr>
        <w:t>教材编写要求</w:t>
      </w:r>
    </w:p>
    <w:p>
      <w:pPr>
        <w:pStyle w:val="3"/>
        <w:spacing w:before="120" w:beforeLines="50" w:after="120" w:afterLines="50" w:line="360" w:lineRule="auto"/>
        <w:ind w:left="22" w:firstLine="405"/>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教材编写须遵循中等职业学校会计事务专业教</w:t>
      </w:r>
      <w:r>
        <w:rPr>
          <w:rFonts w:asciiTheme="minorEastAsia" w:hAnsiTheme="minorEastAsia" w:eastAsiaTheme="minorEastAsia"/>
          <w:color w:val="auto"/>
          <w:lang w:eastAsia="zh-CN"/>
        </w:rPr>
        <w:t>学标准和会计基础课程标准，基于会计岗位典型工作任务设计内容，突出业务核算、管理服务与严谨合规方面能力培养的实用性</w:t>
      </w:r>
      <w:r>
        <w:rPr>
          <w:rFonts w:asciiTheme="minorEastAsia" w:hAnsiTheme="minorEastAsia" w:eastAsiaTheme="minorEastAsia"/>
          <w:color w:val="auto"/>
          <w:spacing w:val="1"/>
          <w:lang w:eastAsia="zh-CN"/>
        </w:rPr>
        <w:t>与针对性。结构设计应适配理实一体化、线</w:t>
      </w:r>
      <w:r>
        <w:rPr>
          <w:rFonts w:asciiTheme="minorEastAsia" w:hAnsiTheme="minorEastAsia" w:eastAsiaTheme="minorEastAsia"/>
          <w:color w:val="auto"/>
          <w:lang w:eastAsia="zh-CN"/>
        </w:rPr>
        <w:t>上线下混合式教学模式需求，配套开发教学课</w:t>
      </w:r>
      <w:r>
        <w:rPr>
          <w:rFonts w:asciiTheme="minorEastAsia" w:hAnsiTheme="minorEastAsia" w:eastAsiaTheme="minorEastAsia"/>
          <w:color w:val="auto"/>
          <w:spacing w:val="-1"/>
          <w:lang w:eastAsia="zh-CN"/>
        </w:rPr>
        <w:t>件、微课、动画、习题库、实训手册和模拟交互数</w:t>
      </w:r>
      <w:r>
        <w:rPr>
          <w:rFonts w:asciiTheme="minorEastAsia" w:hAnsiTheme="minorEastAsia" w:eastAsiaTheme="minorEastAsia"/>
          <w:color w:val="auto"/>
          <w:spacing w:val="-2"/>
          <w:lang w:eastAsia="zh-CN"/>
        </w:rPr>
        <w:t>字资源。</w:t>
      </w:r>
    </w:p>
    <w:p>
      <w:pPr>
        <w:pStyle w:val="3"/>
        <w:spacing w:before="120" w:beforeLines="50" w:after="120" w:afterLines="50" w:line="360" w:lineRule="auto"/>
        <w:ind w:left="489"/>
        <w:rPr>
          <w:rFonts w:asciiTheme="minorEastAsia" w:hAnsiTheme="minorEastAsia" w:eastAsiaTheme="minorEastAsia"/>
          <w:color w:val="auto"/>
          <w:lang w:eastAsia="zh-CN"/>
        </w:rPr>
      </w:pPr>
      <w:r>
        <w:rPr>
          <w:rFonts w:cs="Arial" w:asciiTheme="minorEastAsia" w:hAnsiTheme="minorEastAsia" w:eastAsiaTheme="minorEastAsia"/>
          <w:color w:val="auto"/>
          <w:spacing w:val="7"/>
          <w:position w:val="4"/>
          <w:lang w:eastAsia="zh-CN"/>
        </w:rPr>
        <w:t>3.</w:t>
      </w:r>
      <w:r>
        <w:rPr>
          <w:rFonts w:asciiTheme="minorEastAsia" w:hAnsiTheme="minorEastAsia" w:eastAsiaTheme="minorEastAsia"/>
          <w:color w:val="auto"/>
          <w:spacing w:val="7"/>
          <w:position w:val="4"/>
          <w:lang w:eastAsia="zh-CN"/>
        </w:rPr>
        <w:t>课程资源开发与利用要求</w:t>
      </w:r>
    </w:p>
    <w:p>
      <w:pPr>
        <w:pStyle w:val="3"/>
        <w:spacing w:before="120" w:beforeLines="50" w:after="120" w:afterLines="50" w:line="360" w:lineRule="auto"/>
        <w:ind w:left="428"/>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文本资源方面，开发学习材料、实习实训手册等</w:t>
      </w:r>
      <w:r>
        <w:rPr>
          <w:rFonts w:asciiTheme="minorEastAsia" w:hAnsiTheme="minorEastAsia" w:eastAsiaTheme="minorEastAsia"/>
          <w:color w:val="auto"/>
          <w:spacing w:val="-2"/>
          <w:lang w:eastAsia="zh-CN"/>
        </w:rPr>
        <w:t>教学材料。</w:t>
      </w:r>
    </w:p>
    <w:p>
      <w:pPr>
        <w:pStyle w:val="3"/>
        <w:spacing w:before="120" w:beforeLines="50" w:after="120" w:afterLines="50" w:line="360" w:lineRule="auto"/>
        <w:ind w:left="3" w:right="15" w:firstLine="422"/>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数字化资源方面，构建涵盖音视频素材、教学课</w:t>
      </w:r>
      <w:r>
        <w:rPr>
          <w:rFonts w:asciiTheme="minorEastAsia" w:hAnsiTheme="minorEastAsia" w:eastAsiaTheme="minorEastAsia"/>
          <w:color w:val="auto"/>
          <w:lang w:eastAsia="zh-CN"/>
        </w:rPr>
        <w:t>件、数字化教学案例、虚拟仿真软件</w:t>
      </w:r>
      <w:r>
        <w:rPr>
          <w:rFonts w:asciiTheme="minorEastAsia" w:hAnsiTheme="minorEastAsia" w:eastAsiaTheme="minorEastAsia"/>
          <w:color w:val="auto"/>
          <w:spacing w:val="-4"/>
          <w:lang w:eastAsia="zh-CN"/>
        </w:rPr>
        <w:t>等在内的资源体系。</w:t>
      </w:r>
    </w:p>
    <w:p>
      <w:pPr>
        <w:pStyle w:val="3"/>
        <w:spacing w:before="120" w:beforeLines="50" w:after="120" w:afterLines="50" w:line="360" w:lineRule="auto"/>
        <w:ind w:left="271"/>
        <w:outlineLvl w:val="1"/>
        <w:rPr>
          <w:rFonts w:asciiTheme="minorEastAsia" w:hAnsiTheme="minorEastAsia" w:eastAsiaTheme="minorEastAsia"/>
          <w:color w:val="auto"/>
          <w:sz w:val="27"/>
          <w:szCs w:val="27"/>
          <w:lang w:eastAsia="zh-CN"/>
        </w:rPr>
      </w:pPr>
      <w:bookmarkStart w:id="16" w:name="bookmark13"/>
      <w:bookmarkEnd w:id="16"/>
      <w:r>
        <w:rPr>
          <w:rFonts w:asciiTheme="minorEastAsia" w:hAnsiTheme="minorEastAsia" w:eastAsiaTheme="minorEastAsia"/>
          <w:color w:val="auto"/>
          <w:spacing w:val="9"/>
          <w:sz w:val="27"/>
          <w:szCs w:val="27"/>
          <w:lang w:eastAsia="zh-CN"/>
        </w:rPr>
        <w:t>（二）教学条件</w:t>
      </w:r>
    </w:p>
    <w:p>
      <w:pPr>
        <w:pStyle w:val="3"/>
        <w:spacing w:before="120" w:beforeLines="50" w:after="120" w:afterLines="50" w:line="360" w:lineRule="auto"/>
        <w:ind w:left="503"/>
        <w:rPr>
          <w:rFonts w:hint="eastAsia" w:cs="Arial" w:asciiTheme="minorEastAsia" w:hAnsiTheme="minorEastAsia" w:eastAsiaTheme="minorEastAsia"/>
          <w:color w:val="auto"/>
          <w:spacing w:val="3"/>
          <w:lang w:eastAsia="zh-CN"/>
        </w:rPr>
      </w:pPr>
      <w:r>
        <w:rPr>
          <w:rFonts w:hint="eastAsia" w:cs="Arial" w:asciiTheme="minorEastAsia" w:hAnsiTheme="minorEastAsia" w:eastAsiaTheme="minorEastAsia"/>
          <w:color w:val="auto"/>
          <w:spacing w:val="3"/>
          <w:lang w:val="en-US" w:eastAsia="zh-CN"/>
        </w:rPr>
        <w:t>1.</w:t>
      </w:r>
      <w:r>
        <w:rPr>
          <w:rFonts w:hint="eastAsia" w:cs="Arial" w:asciiTheme="minorEastAsia" w:hAnsiTheme="minorEastAsia" w:eastAsiaTheme="minorEastAsia"/>
          <w:color w:val="auto"/>
          <w:spacing w:val="3"/>
          <w:lang w:eastAsia="zh-CN"/>
        </w:rPr>
        <w:t>教师发展</w:t>
      </w:r>
    </w:p>
    <w:p>
      <w:pPr>
        <w:pStyle w:val="3"/>
        <w:spacing w:before="120" w:beforeLines="50" w:after="120" w:afterLines="50" w:line="360" w:lineRule="auto"/>
        <w:ind w:firstLine="420" w:firstLineChars="0"/>
        <w:rPr>
          <w:rFonts w:hint="eastAsia" w:cs="Arial" w:asciiTheme="minorEastAsia" w:hAnsiTheme="minorEastAsia" w:eastAsiaTheme="minorEastAsia"/>
          <w:color w:val="auto"/>
          <w:spacing w:val="3"/>
          <w:lang w:eastAsia="zh-CN"/>
        </w:rPr>
      </w:pPr>
      <w:r>
        <w:rPr>
          <w:rFonts w:hint="eastAsia" w:cs="Arial" w:asciiTheme="minorEastAsia" w:hAnsiTheme="minorEastAsia" w:eastAsiaTheme="minorEastAsia"/>
          <w:color w:val="auto"/>
          <w:spacing w:val="3"/>
          <w:lang w:eastAsia="zh-CN"/>
        </w:rPr>
        <w:t>军事课教师是完成军事课教学目标的具体执行者和组织者，学校应当按照教学时数和授课学生数量配备相应数量的军事课教师。军队应完善派遣军官制度，按计划派出承训力量，军地双方共同完成军事课教学任务。</w:t>
      </w:r>
    </w:p>
    <w:p>
      <w:pPr>
        <w:pStyle w:val="3"/>
        <w:spacing w:before="120" w:beforeLines="50" w:after="120" w:afterLines="50" w:line="360" w:lineRule="auto"/>
        <w:ind w:right="17" w:firstLine="422"/>
        <w:rPr>
          <w:rFonts w:asciiTheme="minorEastAsia" w:hAnsiTheme="minorEastAsia" w:eastAsiaTheme="minorEastAsia"/>
          <w:color w:val="auto"/>
          <w:spacing w:val="-1"/>
          <w:lang w:eastAsia="zh-CN"/>
        </w:rPr>
      </w:pPr>
      <w:r>
        <w:rPr>
          <w:rFonts w:hint="eastAsia" w:cs="Arial" w:asciiTheme="minorEastAsia" w:hAnsiTheme="minorEastAsia" w:eastAsiaTheme="minorEastAsia"/>
          <w:color w:val="auto"/>
          <w:spacing w:val="3"/>
          <w:lang w:eastAsia="zh-CN"/>
        </w:rPr>
        <w:t>军事课教师必须在政治上从严要求，努力提高自身思想素质、军事素质和业务能力，积极参加教学改革和学术研究，不断提高教学质量，开创军事课教学科研工作新局面。</w:t>
      </w:r>
      <w:r>
        <w:rPr>
          <w:rFonts w:asciiTheme="minorEastAsia" w:hAnsiTheme="minorEastAsia" w:eastAsiaTheme="minorEastAsia"/>
          <w:color w:val="auto"/>
          <w:lang w:eastAsia="zh-CN"/>
        </w:rPr>
        <w:t>主讲教师应持有相应专业的教师资格证书，具备</w:t>
      </w:r>
      <w:r>
        <w:rPr>
          <w:rFonts w:hint="eastAsia" w:asciiTheme="minorEastAsia" w:hAnsiTheme="minorEastAsia" w:eastAsiaTheme="minorEastAsia"/>
          <w:color w:val="auto"/>
          <w:lang w:val="en-US" w:eastAsia="zh-CN"/>
        </w:rPr>
        <w:t>军事理论</w:t>
      </w:r>
      <w:r>
        <w:rPr>
          <w:rFonts w:asciiTheme="minorEastAsia" w:hAnsiTheme="minorEastAsia" w:eastAsiaTheme="minorEastAsia"/>
          <w:color w:val="auto"/>
          <w:lang w:eastAsia="zh-CN"/>
        </w:rPr>
        <w:t>等相关专</w:t>
      </w:r>
      <w:r>
        <w:rPr>
          <w:rFonts w:asciiTheme="minorEastAsia" w:hAnsiTheme="minorEastAsia" w:eastAsiaTheme="minorEastAsia"/>
          <w:color w:val="auto"/>
          <w:spacing w:val="-1"/>
          <w:lang w:eastAsia="zh-CN"/>
        </w:rPr>
        <w:t>业背景及教学能力，能够胜任</w:t>
      </w:r>
      <w:r>
        <w:rPr>
          <w:rFonts w:hint="eastAsia" w:asciiTheme="minorEastAsia" w:hAnsiTheme="minorEastAsia" w:eastAsiaTheme="minorEastAsia"/>
          <w:color w:val="auto"/>
          <w:spacing w:val="-1"/>
          <w:lang w:val="en-US" w:eastAsia="zh-CN"/>
        </w:rPr>
        <w:t>高职军事理论</w:t>
      </w:r>
      <w:r>
        <w:rPr>
          <w:rFonts w:asciiTheme="minorEastAsia" w:hAnsiTheme="minorEastAsia" w:eastAsiaTheme="minorEastAsia"/>
          <w:color w:val="auto"/>
          <w:spacing w:val="-1"/>
          <w:lang w:eastAsia="zh-CN"/>
        </w:rPr>
        <w:t>课程的理论与实践教学。</w:t>
      </w:r>
    </w:p>
    <w:p>
      <w:pPr>
        <w:pStyle w:val="3"/>
        <w:spacing w:before="120" w:beforeLines="50" w:after="120" w:afterLines="50" w:line="360" w:lineRule="auto"/>
        <w:ind w:right="17" w:firstLine="422"/>
        <w:rPr>
          <w:rFonts w:asciiTheme="minorEastAsia" w:hAnsiTheme="minorEastAsia" w:eastAsiaTheme="minorEastAsia"/>
          <w:color w:val="auto"/>
          <w:lang w:eastAsia="zh-CN"/>
        </w:rPr>
      </w:pPr>
      <w:r>
        <w:rPr>
          <w:rFonts w:asciiTheme="minorEastAsia" w:hAnsiTheme="minorEastAsia" w:eastAsiaTheme="minorEastAsia"/>
          <w:color w:val="auto"/>
          <w:lang w:eastAsia="zh-CN"/>
        </w:rPr>
        <w:t>课程负责人应具有</w:t>
      </w:r>
      <w:r>
        <w:rPr>
          <w:rFonts w:hint="eastAsia" w:asciiTheme="minorEastAsia" w:hAnsiTheme="minorEastAsia" w:eastAsiaTheme="minorEastAsia"/>
          <w:color w:val="auto"/>
          <w:lang w:val="en-US" w:eastAsia="zh-CN"/>
        </w:rPr>
        <w:t>军事理论</w:t>
      </w:r>
      <w:r>
        <w:rPr>
          <w:rFonts w:asciiTheme="minorEastAsia" w:hAnsiTheme="minorEastAsia" w:eastAsiaTheme="minorEastAsia"/>
          <w:color w:val="auto"/>
          <w:lang w:eastAsia="zh-CN"/>
        </w:rPr>
        <w:t>相关专业背景的中级及以上职称，具有</w:t>
      </w:r>
      <w:r>
        <w:rPr>
          <w:rFonts w:hint="eastAsia" w:cs="Times New Roman" w:asciiTheme="minorEastAsia" w:hAnsiTheme="minorEastAsia" w:eastAsiaTheme="minorEastAsia"/>
          <w:color w:val="auto"/>
          <w:lang w:eastAsia="zh-CN"/>
        </w:rPr>
        <w:t>5</w:t>
      </w:r>
      <w:r>
        <w:rPr>
          <w:rFonts w:asciiTheme="minorEastAsia" w:hAnsiTheme="minorEastAsia" w:eastAsiaTheme="minorEastAsia"/>
          <w:color w:val="auto"/>
          <w:spacing w:val="-1"/>
          <w:lang w:eastAsia="zh-CN"/>
        </w:rPr>
        <w:t>年以上教学或</w:t>
      </w:r>
      <w:r>
        <w:rPr>
          <w:rFonts w:asciiTheme="minorEastAsia" w:hAnsiTheme="minorEastAsia" w:eastAsiaTheme="minorEastAsia"/>
          <w:color w:val="auto"/>
          <w:spacing w:val="-4"/>
          <w:lang w:eastAsia="zh-CN"/>
        </w:rPr>
        <w:t>行业实践经验。</w:t>
      </w:r>
    </w:p>
    <w:p>
      <w:pPr>
        <w:pStyle w:val="3"/>
        <w:spacing w:before="120" w:beforeLines="50" w:after="120" w:afterLines="50" w:line="360" w:lineRule="auto"/>
        <w:ind w:right="15" w:firstLine="434"/>
        <w:rPr>
          <w:rFonts w:asciiTheme="minorEastAsia" w:hAnsiTheme="minorEastAsia" w:eastAsiaTheme="minorEastAsia"/>
          <w:color w:val="auto"/>
          <w:lang w:eastAsia="zh-CN"/>
        </w:rPr>
      </w:pPr>
    </w:p>
    <w:p>
      <w:pPr>
        <w:pStyle w:val="3"/>
        <w:spacing w:before="120" w:beforeLines="50" w:after="120" w:afterLines="50" w:line="360" w:lineRule="auto"/>
        <w:ind w:firstLine="420" w:firstLineChars="0"/>
        <w:rPr>
          <w:rFonts w:hint="eastAsia" w:cs="Arial" w:asciiTheme="minorEastAsia" w:hAnsiTheme="minorEastAsia" w:eastAsiaTheme="minorEastAsia"/>
          <w:color w:val="auto"/>
          <w:spacing w:val="3"/>
          <w:lang w:eastAsia="zh-CN"/>
        </w:rPr>
      </w:pPr>
    </w:p>
    <w:p>
      <w:pPr>
        <w:pStyle w:val="3"/>
        <w:spacing w:before="120" w:beforeLines="50" w:after="120" w:afterLines="50" w:line="360" w:lineRule="auto"/>
        <w:ind w:firstLine="420" w:firstLineChars="0"/>
        <w:rPr>
          <w:rFonts w:hint="eastAsia" w:cs="Arial" w:asciiTheme="minorEastAsia" w:hAnsiTheme="minorEastAsia" w:eastAsiaTheme="minorEastAsia"/>
          <w:color w:val="auto"/>
          <w:spacing w:val="3"/>
          <w:lang w:eastAsia="zh-CN"/>
        </w:rPr>
      </w:pPr>
      <w:r>
        <w:rPr>
          <w:rFonts w:hint="eastAsia" w:cs="Arial" w:asciiTheme="minorEastAsia" w:hAnsiTheme="minorEastAsia" w:eastAsiaTheme="minorEastAsia"/>
          <w:color w:val="auto"/>
          <w:spacing w:val="3"/>
          <w:lang w:eastAsia="zh-CN"/>
        </w:rPr>
        <w:t>各级教育行政部门、军事部门和普通高等学校应当有计划地安排军事课教师接受继续教育和培训，不断改善知识结构，提高教育教学水平以及学历、学位层次，适应现代高等教育和军事课教学科研需要。</w:t>
      </w:r>
    </w:p>
    <w:p>
      <w:pPr>
        <w:pStyle w:val="3"/>
        <w:spacing w:before="120" w:beforeLines="50" w:after="120" w:afterLines="50" w:line="360" w:lineRule="auto"/>
        <w:ind w:left="486"/>
        <w:rPr>
          <w:rFonts w:asciiTheme="minorEastAsia" w:hAnsiTheme="minorEastAsia" w:eastAsiaTheme="minorEastAsia"/>
          <w:color w:val="auto"/>
        </w:rPr>
      </w:pPr>
      <w:r>
        <w:rPr>
          <w:rFonts w:cs="Arial" w:asciiTheme="minorEastAsia" w:hAnsiTheme="minorEastAsia" w:eastAsiaTheme="minorEastAsia"/>
          <w:color w:val="auto"/>
          <w:spacing w:val="6"/>
        </w:rPr>
        <w:t>2.</w:t>
      </w:r>
      <w:r>
        <w:rPr>
          <w:rFonts w:asciiTheme="minorEastAsia" w:hAnsiTheme="minorEastAsia" w:eastAsiaTheme="minorEastAsia"/>
          <w:color w:val="auto"/>
          <w:spacing w:val="6"/>
        </w:rPr>
        <w:t>教学设施要求</w:t>
      </w:r>
    </w:p>
    <w:p>
      <w:pPr>
        <w:pStyle w:val="3"/>
        <w:spacing w:before="120" w:beforeLines="50" w:after="120" w:afterLines="50" w:line="360" w:lineRule="auto"/>
        <w:ind w:left="1" w:right="15" w:firstLine="424"/>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专业教室应具备利用信息化手段开展混合式教学</w:t>
      </w:r>
      <w:r>
        <w:rPr>
          <w:rFonts w:asciiTheme="minorEastAsia" w:hAnsiTheme="minorEastAsia" w:eastAsiaTheme="minorEastAsia"/>
          <w:color w:val="auto"/>
          <w:lang w:eastAsia="zh-CN"/>
        </w:rPr>
        <w:t>的条件。一般配备黑（白）板、多媒体计算机、投影设备、音响设备，具有互联网接入或无线网络环境及网络安全防护措施。</w:t>
      </w:r>
      <w:r>
        <w:rPr>
          <w:rFonts w:asciiTheme="minorEastAsia" w:hAnsiTheme="minorEastAsia" w:eastAsiaTheme="minorEastAsia"/>
          <w:color w:val="auto"/>
          <w:spacing w:val="1"/>
          <w:lang w:eastAsia="zh-CN"/>
        </w:rPr>
        <w:t>安装应急照明装置并保持良好状态，符合紧急疏散要求</w:t>
      </w:r>
      <w:r>
        <w:rPr>
          <w:rFonts w:asciiTheme="minorEastAsia" w:hAnsiTheme="minorEastAsia" w:eastAsiaTheme="minorEastAsia"/>
          <w:color w:val="auto"/>
          <w:lang w:eastAsia="zh-CN"/>
        </w:rPr>
        <w:t>，安防标志明显，保持逃生通道畅</w:t>
      </w:r>
      <w:r>
        <w:rPr>
          <w:rFonts w:asciiTheme="minorEastAsia" w:hAnsiTheme="minorEastAsia" w:eastAsiaTheme="minorEastAsia"/>
          <w:color w:val="auto"/>
          <w:spacing w:val="-6"/>
          <w:lang w:eastAsia="zh-CN"/>
        </w:rPr>
        <w:t>通无阻。</w:t>
      </w:r>
    </w:p>
    <w:p>
      <w:pPr>
        <w:pStyle w:val="3"/>
        <w:spacing w:before="120" w:beforeLines="50" w:after="120" w:afterLines="50" w:line="360" w:lineRule="auto"/>
        <w:ind w:right="17" w:firstLine="427"/>
        <w:jc w:val="both"/>
        <w:rPr>
          <w:rFonts w:asciiTheme="minorEastAsia" w:hAnsiTheme="minorEastAsia" w:eastAsiaTheme="minorEastAsia"/>
          <w:color w:val="auto"/>
          <w:lang w:eastAsia="zh-CN"/>
        </w:rPr>
      </w:pPr>
      <w:r>
        <w:rPr>
          <w:rFonts w:asciiTheme="minorEastAsia" w:hAnsiTheme="minorEastAsia" w:eastAsiaTheme="minorEastAsia"/>
          <w:color w:val="auto"/>
          <w:lang w:eastAsia="zh-CN"/>
        </w:rPr>
        <w:t>校内实训场所面积、设备设施、安全、环境、管理等符合教育部有关标准（规定、办</w:t>
      </w:r>
      <w:r>
        <w:rPr>
          <w:rFonts w:asciiTheme="minorEastAsia" w:hAnsiTheme="minorEastAsia" w:eastAsiaTheme="minorEastAsia"/>
          <w:color w:val="auto"/>
          <w:spacing w:val="2"/>
          <w:lang w:eastAsia="zh-CN"/>
        </w:rPr>
        <w:t>法</w:t>
      </w:r>
      <w:r>
        <w:rPr>
          <w:rFonts w:asciiTheme="minorEastAsia" w:hAnsiTheme="minorEastAsia" w:eastAsiaTheme="minorEastAsia"/>
          <w:color w:val="auto"/>
          <w:spacing w:val="-23"/>
          <w:lang w:eastAsia="zh-CN"/>
        </w:rPr>
        <w:t>），</w:t>
      </w:r>
      <w:r>
        <w:rPr>
          <w:rFonts w:asciiTheme="minorEastAsia" w:hAnsiTheme="minorEastAsia" w:eastAsiaTheme="minorEastAsia"/>
          <w:color w:val="auto"/>
          <w:spacing w:val="2"/>
          <w:lang w:eastAsia="zh-CN"/>
        </w:rPr>
        <w:t>实训环境与设备设施对接</w:t>
      </w:r>
      <w:r>
        <w:rPr>
          <w:rFonts w:hint="eastAsia" w:asciiTheme="minorEastAsia" w:hAnsiTheme="minorEastAsia" w:eastAsiaTheme="minorEastAsia"/>
          <w:color w:val="auto"/>
          <w:spacing w:val="2"/>
          <w:lang w:val="en-US" w:eastAsia="zh-CN"/>
        </w:rPr>
        <w:t>共同条令教育与训练、射击与战术训练、防卫技能与战时防护训练、战备基础与应用训练等</w:t>
      </w:r>
      <w:r>
        <w:rPr>
          <w:rFonts w:asciiTheme="minorEastAsia" w:hAnsiTheme="minorEastAsia" w:eastAsiaTheme="minorEastAsia"/>
          <w:color w:val="auto"/>
          <w:spacing w:val="1"/>
          <w:lang w:eastAsia="zh-CN"/>
        </w:rPr>
        <w:t>真实场景或情境，实训项目注重工学结合、理实</w:t>
      </w:r>
      <w:r>
        <w:rPr>
          <w:rFonts w:asciiTheme="minorEastAsia" w:hAnsiTheme="minorEastAsia" w:eastAsiaTheme="minorEastAsia"/>
          <w:color w:val="auto"/>
          <w:lang w:eastAsia="zh-CN"/>
        </w:rPr>
        <w:t>一体，实验、实训指导教师配备</w:t>
      </w:r>
      <w:r>
        <w:rPr>
          <w:rFonts w:asciiTheme="minorEastAsia" w:hAnsiTheme="minorEastAsia" w:eastAsiaTheme="minorEastAsia"/>
          <w:color w:val="auto"/>
          <w:spacing w:val="1"/>
          <w:lang w:eastAsia="zh-CN"/>
        </w:rPr>
        <w:t>合理，实验、实训管理及实施规章制度齐全，确保能够顺</w:t>
      </w:r>
      <w:r>
        <w:rPr>
          <w:rFonts w:asciiTheme="minorEastAsia" w:hAnsiTheme="minorEastAsia" w:eastAsiaTheme="minorEastAsia"/>
          <w:color w:val="auto"/>
          <w:lang w:eastAsia="zh-CN"/>
        </w:rPr>
        <w:t>利开展</w:t>
      </w:r>
      <w:r>
        <w:rPr>
          <w:rFonts w:hint="eastAsia" w:asciiTheme="minorEastAsia" w:hAnsiTheme="minorEastAsia" w:eastAsiaTheme="minorEastAsia"/>
          <w:color w:val="auto"/>
          <w:lang w:val="en-US" w:eastAsia="zh-CN"/>
        </w:rPr>
        <w:t>各项</w:t>
      </w:r>
      <w:r>
        <w:rPr>
          <w:rFonts w:asciiTheme="minorEastAsia" w:hAnsiTheme="minorEastAsia" w:eastAsiaTheme="minorEastAsia"/>
          <w:color w:val="auto"/>
          <w:spacing w:val="1"/>
          <w:lang w:eastAsia="zh-CN"/>
        </w:rPr>
        <w:t>实验、</w:t>
      </w:r>
      <w:r>
        <w:rPr>
          <w:rFonts w:asciiTheme="minorEastAsia" w:hAnsiTheme="minorEastAsia" w:eastAsiaTheme="minorEastAsia"/>
          <w:color w:val="auto"/>
          <w:lang w:eastAsia="zh-CN"/>
        </w:rPr>
        <w:t>实训活动。鼓励在实训中运用大</w:t>
      </w:r>
      <w:r>
        <w:rPr>
          <w:rFonts w:asciiTheme="minorEastAsia" w:hAnsiTheme="minorEastAsia" w:eastAsiaTheme="minorEastAsia"/>
          <w:color w:val="auto"/>
          <w:spacing w:val="-1"/>
          <w:lang w:eastAsia="zh-CN"/>
        </w:rPr>
        <w:t>数据、云计算、人工智能、虚拟仿真等前沿信</w:t>
      </w:r>
      <w:r>
        <w:rPr>
          <w:rFonts w:asciiTheme="minorEastAsia" w:hAnsiTheme="minorEastAsia" w:eastAsiaTheme="minorEastAsia"/>
          <w:color w:val="auto"/>
          <w:spacing w:val="-2"/>
          <w:lang w:eastAsia="zh-CN"/>
        </w:rPr>
        <w:t>息技术。</w:t>
      </w:r>
    </w:p>
    <w:p>
      <w:pPr>
        <w:pStyle w:val="3"/>
        <w:spacing w:before="120" w:beforeLines="50" w:after="120" w:afterLines="50" w:line="360" w:lineRule="auto"/>
        <w:ind w:firstLine="427"/>
        <w:jc w:val="both"/>
        <w:rPr>
          <w:rFonts w:asciiTheme="minorEastAsia" w:hAnsiTheme="minorEastAsia" w:eastAsiaTheme="minorEastAsia"/>
          <w:color w:val="auto"/>
          <w:lang w:eastAsia="zh-CN"/>
        </w:rPr>
      </w:pPr>
      <w:r>
        <w:rPr>
          <w:rFonts w:asciiTheme="minorEastAsia" w:hAnsiTheme="minorEastAsia" w:eastAsiaTheme="minorEastAsia"/>
          <w:color w:val="auto"/>
          <w:spacing w:val="1"/>
          <w:lang w:eastAsia="zh-CN"/>
        </w:rPr>
        <w:t>校外实训场所应符合《职业学校学生实习管理规定》《职业学校校企合作促进办</w:t>
      </w:r>
      <w:r>
        <w:rPr>
          <w:rFonts w:asciiTheme="minorEastAsia" w:hAnsiTheme="minorEastAsia" w:eastAsiaTheme="minorEastAsia"/>
          <w:color w:val="auto"/>
          <w:lang w:eastAsia="zh-CN"/>
        </w:rPr>
        <w:t>法》</w:t>
      </w:r>
      <w:r>
        <w:rPr>
          <w:rFonts w:asciiTheme="minorEastAsia" w:hAnsiTheme="minorEastAsia" w:eastAsiaTheme="minorEastAsia"/>
          <w:color w:val="auto"/>
          <w:spacing w:val="1"/>
          <w:lang w:eastAsia="zh-CN"/>
        </w:rPr>
        <w:t>等对实习单位的有关要求，经实地考察后，确定合法经营</w:t>
      </w:r>
      <w:r>
        <w:rPr>
          <w:rFonts w:asciiTheme="minorEastAsia" w:hAnsiTheme="minorEastAsia" w:eastAsiaTheme="minorEastAsia"/>
          <w:color w:val="auto"/>
          <w:lang w:eastAsia="zh-CN"/>
        </w:rPr>
        <w:t>、管理规范，实习条件完备且符</w:t>
      </w:r>
      <w:r>
        <w:rPr>
          <w:rFonts w:asciiTheme="minorEastAsia" w:hAnsiTheme="minorEastAsia" w:eastAsiaTheme="minorEastAsia"/>
          <w:color w:val="auto"/>
          <w:spacing w:val="1"/>
          <w:lang w:eastAsia="zh-CN"/>
        </w:rPr>
        <w:t>合产业发展实际，符合安全生产法律法规要求，与学校建</w:t>
      </w:r>
      <w:r>
        <w:rPr>
          <w:rFonts w:asciiTheme="minorEastAsia" w:hAnsiTheme="minorEastAsia" w:eastAsiaTheme="minorEastAsia"/>
          <w:color w:val="auto"/>
          <w:lang w:eastAsia="zh-CN"/>
        </w:rPr>
        <w:t>立稳定合作关系的单位成为实习</w:t>
      </w:r>
      <w:r>
        <w:rPr>
          <w:rFonts w:asciiTheme="minorEastAsia" w:hAnsiTheme="minorEastAsia" w:eastAsiaTheme="minorEastAsia"/>
          <w:color w:val="auto"/>
          <w:spacing w:val="6"/>
          <w:lang w:eastAsia="zh-CN"/>
        </w:rPr>
        <w:t>基地，并签署学校、学生、实习单位三方协议，能提供与学生规模相适应的实习实训岗</w:t>
      </w:r>
      <w:r>
        <w:rPr>
          <w:rFonts w:asciiTheme="minorEastAsia" w:hAnsiTheme="minorEastAsia" w:eastAsiaTheme="minorEastAsia"/>
          <w:color w:val="auto"/>
          <w:spacing w:val="-2"/>
          <w:lang w:eastAsia="zh-CN"/>
        </w:rPr>
        <w:t>位，配备指导教师，保障实习实训顺利进行。</w:t>
      </w:r>
    </w:p>
    <w:p>
      <w:pPr>
        <w:pStyle w:val="3"/>
        <w:spacing w:before="120" w:beforeLines="50" w:after="120" w:afterLines="50" w:line="360" w:lineRule="auto"/>
        <w:ind w:firstLine="420" w:firstLineChars="0"/>
        <w:rPr>
          <w:rFonts w:hint="eastAsia" w:cs="Arial" w:asciiTheme="minorEastAsia" w:hAnsiTheme="minorEastAsia" w:eastAsiaTheme="minorEastAsia"/>
          <w:color w:val="auto"/>
          <w:spacing w:val="3"/>
          <w:lang w:eastAsia="zh-CN"/>
        </w:rPr>
      </w:pPr>
    </w:p>
    <w:p>
      <w:pPr>
        <w:pStyle w:val="3"/>
        <w:spacing w:before="120" w:beforeLines="50" w:after="120" w:afterLines="50" w:line="360" w:lineRule="auto"/>
        <w:ind w:left="503" w:leftChars="0"/>
        <w:jc w:val="left"/>
        <w:rPr>
          <w:rFonts w:hint="eastAsia" w:cs="Arial" w:asciiTheme="minorEastAsia" w:hAnsiTheme="minorEastAsia" w:eastAsiaTheme="minorEastAsia"/>
          <w:color w:val="auto"/>
          <w:spacing w:val="3"/>
          <w:lang w:val="en-US" w:eastAsia="zh-CN"/>
        </w:rPr>
      </w:pPr>
      <w:r>
        <w:rPr>
          <w:rFonts w:hint="eastAsia" w:cs="Arial" w:asciiTheme="minorEastAsia" w:hAnsiTheme="minorEastAsia" w:eastAsiaTheme="minorEastAsia"/>
          <w:color w:val="auto"/>
          <w:spacing w:val="3"/>
          <w:lang w:eastAsia="zh-CN"/>
        </w:rPr>
        <w:t>　</w:t>
      </w:r>
      <w:r>
        <w:rPr>
          <w:rFonts w:hint="eastAsia" w:cs="Arial" w:asciiTheme="minorEastAsia" w:hAnsiTheme="minorEastAsia" w:eastAsiaTheme="minorEastAsia"/>
          <w:color w:val="auto"/>
          <w:spacing w:val="3"/>
          <w:lang w:val="en-US" w:eastAsia="zh-CN"/>
        </w:rPr>
        <w:t>　3.教材建设</w:t>
      </w:r>
    </w:p>
    <w:p>
      <w:pPr>
        <w:pStyle w:val="3"/>
        <w:spacing w:before="120" w:beforeLines="50" w:after="120" w:afterLines="50" w:line="360" w:lineRule="auto"/>
        <w:ind w:left="503" w:leftChars="0"/>
        <w:jc w:val="left"/>
        <w:rPr>
          <w:rFonts w:hint="eastAsia" w:cs="Arial" w:asciiTheme="minorEastAsia" w:hAnsiTheme="minorEastAsia" w:eastAsiaTheme="minorEastAsia"/>
          <w:color w:val="auto"/>
          <w:spacing w:val="3"/>
          <w:lang w:val="en-US" w:eastAsia="zh-CN"/>
        </w:rPr>
      </w:pPr>
      <w:r>
        <w:rPr>
          <w:rFonts w:hint="eastAsia" w:cs="Arial" w:asciiTheme="minorEastAsia" w:hAnsiTheme="minorEastAsia" w:eastAsiaTheme="minorEastAsia"/>
          <w:color w:val="auto"/>
          <w:spacing w:val="3"/>
          <w:lang w:val="en-US" w:eastAsia="zh-CN"/>
        </w:rPr>
        <w:t>　　建立和完善军事课教材建设、规划、编审管理制度。加强普通高等学校军事教学指导委员会建设，规范军事课教材编写和审查。实行教材准入制度。高校应选用优质教材进行教学，确保教材的政策性、权威性和规范性。</w:t>
      </w:r>
    </w:p>
    <w:p>
      <w:pPr>
        <w:pStyle w:val="3"/>
        <w:spacing w:before="120" w:beforeLines="50" w:after="120" w:afterLines="50" w:line="360" w:lineRule="auto"/>
        <w:ind w:left="503" w:leftChars="0"/>
        <w:jc w:val="left"/>
        <w:rPr>
          <w:rFonts w:hint="eastAsia" w:cs="Arial" w:asciiTheme="minorEastAsia" w:hAnsiTheme="minorEastAsia" w:eastAsiaTheme="minorEastAsia"/>
          <w:color w:val="auto"/>
          <w:spacing w:val="3"/>
          <w:lang w:val="en-US" w:eastAsia="zh-CN"/>
        </w:rPr>
      </w:pPr>
      <w:r>
        <w:rPr>
          <w:rFonts w:hint="eastAsia" w:cs="Arial" w:asciiTheme="minorEastAsia" w:hAnsiTheme="minorEastAsia" w:eastAsiaTheme="minorEastAsia"/>
          <w:color w:val="auto"/>
          <w:spacing w:val="3"/>
          <w:lang w:val="en-US" w:eastAsia="zh-CN"/>
        </w:rPr>
        <w:t>　　4.教学方法</w:t>
      </w:r>
    </w:p>
    <w:p>
      <w:pPr>
        <w:pStyle w:val="3"/>
        <w:spacing w:before="120" w:beforeLines="50" w:after="120" w:afterLines="50" w:line="360" w:lineRule="auto"/>
        <w:ind w:left="503" w:leftChars="0"/>
        <w:jc w:val="left"/>
        <w:rPr>
          <w:rFonts w:hint="eastAsia" w:cs="Arial" w:asciiTheme="minorEastAsia" w:hAnsiTheme="minorEastAsia" w:eastAsiaTheme="minorEastAsia"/>
          <w:color w:val="auto"/>
          <w:spacing w:val="3"/>
          <w:lang w:val="en-US" w:eastAsia="zh-CN"/>
        </w:rPr>
      </w:pPr>
      <w:r>
        <w:rPr>
          <w:rFonts w:hint="eastAsia" w:cs="Arial" w:asciiTheme="minorEastAsia" w:hAnsiTheme="minorEastAsia" w:eastAsiaTheme="minorEastAsia"/>
          <w:color w:val="auto"/>
          <w:spacing w:val="3"/>
          <w:lang w:val="en-US" w:eastAsia="zh-CN"/>
        </w:rPr>
        <w:t>　　坚持课堂教学和教师面授在军事课教学中的主渠道作用，重视信息技术和慕课、微课、视频公开课等在线课程在教学中的应用和管理。</w:t>
      </w:r>
    </w:p>
    <w:p>
      <w:pPr>
        <w:pStyle w:val="3"/>
        <w:spacing w:before="120" w:beforeLines="50" w:after="120" w:afterLines="50" w:line="360" w:lineRule="auto"/>
        <w:ind w:left="503" w:leftChars="0" w:firstLine="426"/>
        <w:jc w:val="left"/>
        <w:rPr>
          <w:rFonts w:hint="eastAsia" w:cs="Arial" w:asciiTheme="minorEastAsia" w:hAnsiTheme="minorEastAsia" w:eastAsiaTheme="minorEastAsia"/>
          <w:color w:val="auto"/>
          <w:spacing w:val="3"/>
          <w:lang w:val="en-US" w:eastAsia="zh-CN"/>
        </w:rPr>
      </w:pPr>
      <w:r>
        <w:rPr>
          <w:rFonts w:hint="eastAsia" w:cs="Arial" w:asciiTheme="minorEastAsia" w:hAnsiTheme="minorEastAsia" w:eastAsiaTheme="minorEastAsia"/>
          <w:color w:val="auto"/>
          <w:spacing w:val="3"/>
          <w:lang w:val="en-US" w:eastAsia="zh-CN"/>
        </w:rPr>
        <w:t>军事理论教学进入正常授课课堂，严禁以集中讲座等形式替代课堂教学。军事技能训练应坚持按纲施训、依法治训原则，积极推广仿真训练和模拟训练，严禁违规开展商业化运营和市场化运作。</w:t>
      </w:r>
    </w:p>
    <w:p>
      <w:pPr>
        <w:pStyle w:val="3"/>
        <w:spacing w:before="139" w:line="209" w:lineRule="auto"/>
        <w:rPr>
          <w:rFonts w:asciiTheme="minorEastAsia" w:hAnsiTheme="minorEastAsia" w:eastAsiaTheme="minorEastAsia"/>
          <w:color w:val="auto"/>
          <w:spacing w:val="1"/>
          <w:sz w:val="27"/>
          <w:szCs w:val="27"/>
          <w:lang w:eastAsia="zh-CN"/>
        </w:rPr>
      </w:pPr>
    </w:p>
    <w:p>
      <w:pPr>
        <w:pStyle w:val="3"/>
        <w:spacing w:before="139" w:line="209" w:lineRule="auto"/>
        <w:rPr>
          <w:rFonts w:asciiTheme="minorEastAsia" w:hAnsiTheme="minorEastAsia" w:eastAsiaTheme="minorEastAsia"/>
          <w:color w:val="auto"/>
          <w:spacing w:val="1"/>
          <w:sz w:val="27"/>
          <w:szCs w:val="27"/>
          <w:lang w:eastAsia="zh-CN"/>
        </w:rPr>
      </w:pPr>
    </w:p>
    <w:p>
      <w:pPr>
        <w:pStyle w:val="3"/>
        <w:spacing w:before="139" w:line="209" w:lineRule="auto"/>
        <w:rPr>
          <w:rFonts w:asciiTheme="minorEastAsia" w:hAnsiTheme="minorEastAsia" w:eastAsiaTheme="minorEastAsia"/>
          <w:color w:val="auto"/>
          <w:spacing w:val="1"/>
          <w:sz w:val="27"/>
          <w:szCs w:val="27"/>
          <w:lang w:eastAsia="zh-CN"/>
        </w:rPr>
      </w:pPr>
      <w:r>
        <w:rPr>
          <w:rFonts w:asciiTheme="minorEastAsia" w:hAnsiTheme="minorEastAsia" w:eastAsiaTheme="minorEastAsia"/>
          <w:color w:val="auto"/>
          <w:spacing w:val="1"/>
          <w:sz w:val="27"/>
          <w:szCs w:val="27"/>
          <w:lang w:eastAsia="zh-CN"/>
        </w:rPr>
        <w:t>编制人员及单位：</w:t>
      </w:r>
    </w:p>
    <w:p>
      <w:pPr>
        <w:pStyle w:val="3"/>
        <w:spacing w:before="139" w:line="209" w:lineRule="auto"/>
        <w:ind w:firstLine="476" w:firstLineChars="200"/>
        <w:rPr>
          <w:rFonts w:asciiTheme="minorEastAsia" w:hAnsiTheme="minorEastAsia" w:eastAsiaTheme="minorEastAsia"/>
          <w:color w:val="auto"/>
          <w:spacing w:val="-1"/>
          <w:sz w:val="24"/>
          <w:szCs w:val="24"/>
          <w:lang w:eastAsia="zh-CN"/>
        </w:rPr>
      </w:pPr>
      <w:r>
        <w:rPr>
          <w:rFonts w:hint="eastAsia" w:asciiTheme="minorEastAsia" w:hAnsiTheme="minorEastAsia" w:eastAsiaTheme="minorEastAsia"/>
          <w:color w:val="auto"/>
          <w:spacing w:val="-1"/>
          <w:sz w:val="24"/>
          <w:szCs w:val="24"/>
          <w:lang w:eastAsia="zh-CN"/>
        </w:rPr>
        <w:t>xxx</w:t>
      </w:r>
      <w:r>
        <w:rPr>
          <w:rFonts w:asciiTheme="minorEastAsia" w:hAnsiTheme="minorEastAsia" w:eastAsiaTheme="minorEastAsia"/>
          <w:color w:val="auto"/>
          <w:spacing w:val="-1"/>
          <w:sz w:val="24"/>
          <w:szCs w:val="24"/>
          <w:lang w:eastAsia="zh-CN"/>
        </w:rPr>
        <w:t>，</w:t>
      </w:r>
      <w:r>
        <w:rPr>
          <w:rFonts w:hint="eastAsia" w:asciiTheme="minorEastAsia" w:hAnsiTheme="minorEastAsia" w:eastAsiaTheme="minorEastAsia"/>
          <w:color w:val="auto"/>
          <w:spacing w:val="-1"/>
          <w:sz w:val="24"/>
          <w:szCs w:val="24"/>
          <w:lang w:eastAsia="zh-CN"/>
        </w:rPr>
        <w:t>xxx</w:t>
      </w:r>
      <w:r>
        <w:rPr>
          <w:rFonts w:asciiTheme="minorEastAsia" w:hAnsiTheme="minorEastAsia" w:eastAsiaTheme="minorEastAsia"/>
          <w:color w:val="auto"/>
          <w:spacing w:val="-1"/>
          <w:sz w:val="24"/>
          <w:szCs w:val="24"/>
          <w:lang w:eastAsia="zh-CN"/>
        </w:rPr>
        <w:t>学院</w:t>
      </w:r>
    </w:p>
    <w:p>
      <w:pPr>
        <w:pStyle w:val="3"/>
        <w:spacing w:before="139" w:line="209" w:lineRule="auto"/>
        <w:ind w:firstLine="476" w:firstLineChars="200"/>
        <w:rPr>
          <w:rFonts w:asciiTheme="minorEastAsia" w:hAnsiTheme="minorEastAsia" w:eastAsiaTheme="minorEastAsia"/>
          <w:color w:val="auto"/>
          <w:spacing w:val="-1"/>
          <w:sz w:val="24"/>
          <w:szCs w:val="24"/>
          <w:lang w:eastAsia="zh-CN"/>
        </w:rPr>
      </w:pPr>
      <w:r>
        <w:rPr>
          <w:rFonts w:hint="eastAsia" w:asciiTheme="minorEastAsia" w:hAnsiTheme="minorEastAsia" w:eastAsiaTheme="minorEastAsia"/>
          <w:color w:val="auto"/>
          <w:spacing w:val="-1"/>
          <w:sz w:val="24"/>
          <w:szCs w:val="24"/>
          <w:lang w:eastAsia="zh-CN"/>
        </w:rPr>
        <w:t>xxx</w:t>
      </w:r>
      <w:r>
        <w:rPr>
          <w:rFonts w:asciiTheme="minorEastAsia" w:hAnsiTheme="minorEastAsia" w:eastAsiaTheme="minorEastAsia"/>
          <w:color w:val="auto"/>
          <w:spacing w:val="-1"/>
          <w:sz w:val="24"/>
          <w:szCs w:val="24"/>
        </w:rPr>
        <w:t>，</w:t>
      </w:r>
      <w:r>
        <w:rPr>
          <w:rFonts w:hint="eastAsia" w:asciiTheme="minorEastAsia" w:hAnsiTheme="minorEastAsia" w:eastAsiaTheme="minorEastAsia"/>
          <w:color w:val="auto"/>
          <w:spacing w:val="-1"/>
          <w:sz w:val="24"/>
          <w:szCs w:val="24"/>
          <w:lang w:eastAsia="zh-CN"/>
        </w:rPr>
        <w:t>xxx</w:t>
      </w:r>
    </w:p>
    <w:p>
      <w:pPr>
        <w:pStyle w:val="3"/>
        <w:spacing w:before="139" w:line="209" w:lineRule="auto"/>
        <w:ind w:firstLine="476" w:firstLineChars="200"/>
        <w:rPr>
          <w:rFonts w:asciiTheme="minorEastAsia" w:hAnsiTheme="minorEastAsia" w:eastAsiaTheme="minorEastAsia"/>
          <w:color w:val="auto"/>
          <w:spacing w:val="-1"/>
          <w:sz w:val="24"/>
          <w:szCs w:val="24"/>
          <w:lang w:eastAsia="zh-CN"/>
        </w:rPr>
      </w:pPr>
      <w:r>
        <w:rPr>
          <w:rFonts w:hint="eastAsia" w:asciiTheme="minorEastAsia" w:hAnsiTheme="minorEastAsia" w:eastAsiaTheme="minorEastAsia"/>
          <w:color w:val="auto"/>
          <w:spacing w:val="-1"/>
          <w:sz w:val="24"/>
          <w:szCs w:val="24"/>
          <w:lang w:eastAsia="zh-CN"/>
        </w:rPr>
        <w:t>xxx</w:t>
      </w:r>
      <w:r>
        <w:rPr>
          <w:rFonts w:asciiTheme="minorEastAsia" w:hAnsiTheme="minorEastAsia" w:eastAsiaTheme="minorEastAsia"/>
          <w:color w:val="auto"/>
          <w:spacing w:val="-1"/>
          <w:sz w:val="24"/>
          <w:szCs w:val="24"/>
        </w:rPr>
        <w:t>，</w:t>
      </w:r>
      <w:r>
        <w:rPr>
          <w:rFonts w:hint="eastAsia" w:asciiTheme="minorEastAsia" w:hAnsiTheme="minorEastAsia" w:eastAsiaTheme="minorEastAsia"/>
          <w:color w:val="auto"/>
          <w:spacing w:val="-1"/>
          <w:sz w:val="24"/>
          <w:szCs w:val="24"/>
          <w:lang w:eastAsia="zh-CN"/>
        </w:rPr>
        <w:t>xxx</w:t>
      </w:r>
    </w:p>
    <w:p>
      <w:pPr>
        <w:pStyle w:val="3"/>
        <w:spacing w:before="139" w:line="209" w:lineRule="auto"/>
        <w:ind w:firstLine="476" w:firstLineChars="200"/>
        <w:rPr>
          <w:rFonts w:asciiTheme="minorEastAsia" w:hAnsiTheme="minorEastAsia" w:eastAsiaTheme="minorEastAsia"/>
          <w:color w:val="auto"/>
          <w:spacing w:val="-1"/>
          <w:sz w:val="24"/>
          <w:szCs w:val="24"/>
        </w:rPr>
      </w:pPr>
      <w:r>
        <w:rPr>
          <w:rFonts w:hint="eastAsia" w:asciiTheme="minorEastAsia" w:hAnsiTheme="minorEastAsia" w:eastAsiaTheme="minorEastAsia"/>
          <w:color w:val="auto"/>
          <w:spacing w:val="-1"/>
          <w:sz w:val="24"/>
          <w:szCs w:val="24"/>
          <w:lang w:eastAsia="zh-CN"/>
        </w:rPr>
        <w:t>xxx</w:t>
      </w:r>
      <w:r>
        <w:rPr>
          <w:rFonts w:asciiTheme="minorEastAsia" w:hAnsiTheme="minorEastAsia" w:eastAsiaTheme="minorEastAsia"/>
          <w:color w:val="auto"/>
          <w:spacing w:val="-1"/>
          <w:sz w:val="24"/>
          <w:szCs w:val="24"/>
        </w:rPr>
        <w:t>，</w:t>
      </w:r>
      <w:r>
        <w:rPr>
          <w:rFonts w:hint="eastAsia" w:asciiTheme="minorEastAsia" w:hAnsiTheme="minorEastAsia" w:eastAsiaTheme="minorEastAsia"/>
          <w:color w:val="auto"/>
          <w:spacing w:val="-1"/>
          <w:sz w:val="24"/>
          <w:szCs w:val="24"/>
          <w:lang w:eastAsia="zh-CN"/>
        </w:rPr>
        <w:t>xxx</w:t>
      </w:r>
    </w:p>
    <w:p>
      <w:pPr>
        <w:pStyle w:val="3"/>
        <w:spacing w:before="139" w:line="209" w:lineRule="auto"/>
        <w:ind w:firstLine="476" w:firstLineChars="200"/>
        <w:rPr>
          <w:rFonts w:asciiTheme="minorEastAsia" w:hAnsiTheme="minorEastAsia" w:eastAsiaTheme="minorEastAsia"/>
          <w:color w:val="auto"/>
          <w:spacing w:val="-1"/>
          <w:sz w:val="24"/>
          <w:szCs w:val="24"/>
          <w:lang w:eastAsia="zh-CN"/>
        </w:rPr>
      </w:pPr>
      <w:r>
        <w:rPr>
          <w:rFonts w:hint="eastAsia" w:asciiTheme="minorEastAsia" w:hAnsiTheme="minorEastAsia" w:eastAsiaTheme="minorEastAsia"/>
          <w:color w:val="auto"/>
          <w:spacing w:val="-1"/>
          <w:sz w:val="24"/>
          <w:szCs w:val="24"/>
          <w:lang w:eastAsia="zh-CN"/>
        </w:rPr>
        <w:t>...</w:t>
      </w:r>
    </w:p>
    <w:sectPr>
      <w:footerReference r:id="rId4" w:type="default"/>
      <w:pgSz w:w="10820" w:h="15080"/>
      <w:pgMar w:top="1281" w:right="1623" w:bottom="1076" w:left="1311" w:header="0" w:footer="831"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书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准圆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5" w:lineRule="exact"/>
      <w:ind w:left="4055"/>
      <w:rPr>
        <w:sz w:val="20"/>
        <w:szCs w:val="20"/>
      </w:rPr>
    </w:pPr>
    <w:r>
      <w:rPr>
        <w:color w:val="00AEEF"/>
        <w:spacing w:val="6"/>
        <w:sz w:val="20"/>
        <w:szCs w:val="2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2513623"/>
      <w:docPartObj>
        <w:docPartGallery w:val="AutoText"/>
      </w:docPartObj>
    </w:sdtPr>
    <w:sdtContent>
      <w:p>
        <w:pPr>
          <w:pStyle w:val="5"/>
          <w:jc w:val="center"/>
        </w:pPr>
        <w:r>
          <w:fldChar w:fldCharType="begin"/>
        </w:r>
        <w:r>
          <w:instrText xml:space="preserve">PAGE   \* MERGEFORMAT</w:instrText>
        </w:r>
        <w:r>
          <w:fldChar w:fldCharType="separate"/>
        </w:r>
        <w:r>
          <w:rPr>
            <w:lang w:val="zh-CN" w:eastAsia="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WZhYzY1ZjEwYzE0MTgzYzYwNzAzNDFlNTliNGYwMzgifQ=="/>
  </w:docVars>
  <w:rsids>
    <w:rsidRoot w:val="00C946BD"/>
    <w:rsid w:val="00063660"/>
    <w:rsid w:val="00270934"/>
    <w:rsid w:val="00652601"/>
    <w:rsid w:val="007C3E33"/>
    <w:rsid w:val="00C946BD"/>
    <w:rsid w:val="00D67FF8"/>
    <w:rsid w:val="00E17A03"/>
    <w:rsid w:val="00E86872"/>
    <w:rsid w:val="15143256"/>
    <w:rsid w:val="32EE650D"/>
    <w:rsid w:val="79214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w:basedOn w:val="1"/>
    <w:semiHidden/>
    <w:qFormat/>
    <w:uiPriority w:val="0"/>
    <w:rPr>
      <w:rFonts w:ascii="微软雅黑" w:hAnsi="微软雅黑" w:eastAsia="微软雅黑" w:cs="微软雅黑"/>
    </w:rPr>
  </w:style>
  <w:style w:type="paragraph" w:styleId="4">
    <w:name w:val="Balloon Text"/>
    <w:basedOn w:val="1"/>
    <w:link w:val="13"/>
    <w:autoRedefine/>
    <w:qFormat/>
    <w:uiPriority w:val="0"/>
    <w:rPr>
      <w:sz w:val="18"/>
      <w:szCs w:val="18"/>
    </w:rPr>
  </w:style>
  <w:style w:type="paragraph" w:styleId="5">
    <w:name w:val="footer"/>
    <w:basedOn w:val="1"/>
    <w:link w:val="15"/>
    <w:autoRedefine/>
    <w:qFormat/>
    <w:uiPriority w:val="99"/>
    <w:pPr>
      <w:tabs>
        <w:tab w:val="center" w:pos="4153"/>
        <w:tab w:val="right" w:pos="8306"/>
      </w:tabs>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jc w:val="center"/>
    </w:pPr>
    <w:rPr>
      <w:sz w:val="18"/>
      <w:szCs w:val="18"/>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style>
  <w:style w:type="character" w:customStyle="1" w:styleId="13">
    <w:name w:val="批注框文本 Char"/>
    <w:basedOn w:val="9"/>
    <w:link w:val="4"/>
    <w:autoRedefine/>
    <w:qFormat/>
    <w:uiPriority w:val="0"/>
    <w:rPr>
      <w:rFonts w:eastAsia="Arial"/>
      <w:snapToGrid w:val="0"/>
      <w:color w:val="000000"/>
      <w:sz w:val="18"/>
      <w:szCs w:val="18"/>
      <w:lang w:eastAsia="en-US"/>
    </w:rPr>
  </w:style>
  <w:style w:type="character" w:customStyle="1" w:styleId="14">
    <w:name w:val="页眉 Char"/>
    <w:basedOn w:val="9"/>
    <w:link w:val="6"/>
    <w:autoRedefine/>
    <w:qFormat/>
    <w:uiPriority w:val="0"/>
    <w:rPr>
      <w:rFonts w:eastAsia="Arial"/>
      <w:snapToGrid w:val="0"/>
      <w:color w:val="000000"/>
      <w:sz w:val="18"/>
      <w:szCs w:val="18"/>
      <w:lang w:eastAsia="en-US"/>
    </w:rPr>
  </w:style>
  <w:style w:type="character" w:customStyle="1" w:styleId="15">
    <w:name w:val="页脚 Char"/>
    <w:basedOn w:val="9"/>
    <w:link w:val="5"/>
    <w:autoRedefine/>
    <w:qFormat/>
    <w:uiPriority w:val="99"/>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12</Pages>
  <Words>791</Words>
  <Characters>4515</Characters>
  <Lines>37</Lines>
  <Paragraphs>10</Paragraphs>
  <TotalTime>2</TotalTime>
  <ScaleCrop>false</ScaleCrop>
  <LinksUpToDate>false</LinksUpToDate>
  <CharactersWithSpaces>5296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2025-12-19T12:00:00Z</dcterms:created>
  <dc:creator>Administrator</dc:creator>
  <cp:lastModifiedBy>管理员</cp:lastModifiedBy>
  <dcterms:modified xsi:type="dcterms:W3CDTF">2026-03-09T05:52:00Z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2026-01-19T12:47:30Z</vt:filetime>
  </property>
  <property fmtid="{D5CDD505-2E9C-101B-9397-08002B2CF9AE}" pid="4" name="KSOTemplateDocerSaveRecord">
    <vt:lpwstr>eyJoZGlkIjoiNGU5ZmIyYzExNGI3MTdhNTI2MWE4YzE5ZmQzM2I4ZjUiLCJ1c2VySWQiOiI0ODE0OTc4NjYifQ==</vt:lpwstr>
  </property>
  <property fmtid="{D5CDD505-2E9C-101B-9397-08002B2CF9AE}" pid="5" name="KSOProductBuildVer">
    <vt:lpwstr>2052-12.1.0.16729</vt:lpwstr>
  </property>
  <property fmtid="{D5CDD505-2E9C-101B-9397-08002B2CF9AE}" pid="6" name="ICV">
    <vt:lpwstr>34E4382C9CC94F9985CA66DD2BBE4538_12</vt:lpwstr>
  </property>
</Properties>
</file>