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/>
          <w:bCs/>
          <w:kern w:val="44"/>
          <w:szCs w:val="21"/>
        </w:rPr>
      </w:pPr>
      <w:r>
        <w:rPr>
          <w:rFonts w:ascii="黑体" w:hAnsi="黑体" w:eastAsia="黑体"/>
          <w:b/>
          <w:bCs/>
          <w:kern w:val="44"/>
          <w:szCs w:val="21"/>
        </w:rPr>
        <w:t>课时安排</w:t>
      </w:r>
    </w:p>
    <w:tbl>
      <w:tblPr>
        <w:tblStyle w:val="3"/>
        <w:tblW w:w="8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128"/>
        <w:gridCol w:w="1733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Chars="-8" w:hanging="16" w:hangingChars="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课程内容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 时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舞蹈基础知识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舞蹈鉴赏概述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舞蹈的人文内涵与学科融合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4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中国古典舞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5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中国民族民间舞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6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西方芭蕾舞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7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中国舞剧、舞蹈诗 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8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现代舞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9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中国当代舞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1447" w:firstLineChars="801"/>
              <w:jc w:val="both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国际标准舞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流行舞蹈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新媒体舞蹈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合计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/>
    <w:p/>
    <w:p/>
    <w:p/>
    <w:p/>
    <w:p/>
    <w:p/>
    <w:p/>
    <w:p/>
    <w:p/>
    <w:p/>
    <w:p/>
    <w:p/>
    <w:p>
      <w:pPr>
        <w:keepNext/>
        <w:keepLines/>
        <w:spacing w:before="240" w:after="240" w:line="720" w:lineRule="auto"/>
        <w:jc w:val="center"/>
        <w:outlineLvl w:val="0"/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tbl>
      <w:tblPr>
        <w:tblStyle w:val="3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575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240" w:lineRule="auto"/>
              <w:ind w:hanging="8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szCs w:val="20"/>
                <w:lang w:eastAsia="zh-CN"/>
              </w:rPr>
              <w:tab/>
            </w:r>
            <w:r>
              <w:rPr>
                <w:rFonts w:hint="eastAsia" w:ascii="Times New Roman" w:hAnsi="Times New Roman"/>
                <w:szCs w:val="20"/>
                <w:lang w:val="en-US" w:eastAsia="zh-CN"/>
              </w:rPr>
              <w:t>流行舞蹈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2课时（180min）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教学目标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宋体"/>
                <w:b/>
                <w:bCs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知识目标：</w:t>
            </w:r>
            <w:r>
              <w:rPr>
                <w:rFonts w:hint="eastAsia" w:ascii="Times New Roman" w:hAnsi="Times New Roman"/>
                <w:szCs w:val="20"/>
                <w:lang w:val="en-US" w:eastAsia="zh-CN"/>
              </w:rPr>
              <w:t>初步了解流行舞蹈的概念特征与分类。</w:t>
            </w:r>
          </w:p>
          <w:p>
            <w:pPr>
              <w:spacing w:line="240" w:lineRule="auto"/>
              <w:rPr>
                <w:rFonts w:hint="default" w:ascii="Times New Roman" w:hAnsi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能力目标：</w:t>
            </w:r>
            <w:r>
              <w:rPr>
                <w:rFonts w:hint="eastAsia" w:ascii="Times New Roman" w:hAnsi="Times New Roman"/>
                <w:szCs w:val="20"/>
                <w:lang w:val="en-US" w:eastAsia="zh-CN"/>
              </w:rPr>
              <w:t>能够初步分析流行舞蹈的优秀作品及艺术特征，初步探索流行舞蹈表演、创作的内在规律，具备一定的流行舞蹈鉴赏能力。</w:t>
            </w:r>
          </w:p>
          <w:p>
            <w:pPr>
              <w:spacing w:line="240" w:lineRule="auto"/>
              <w:rPr>
                <w:rFonts w:hint="default" w:ascii="Times New Roman" w:hAnsi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情感目标：</w:t>
            </w:r>
            <w:r>
              <w:rPr>
                <w:rFonts w:hint="eastAsia" w:ascii="Times New Roman" w:hAnsi="Times New Roman"/>
                <w:szCs w:val="20"/>
                <w:lang w:val="en-US" w:eastAsia="zh-CN"/>
              </w:rPr>
              <w:t>提升对流行舞蹈的兴趣，感受其独特的魅力，从而拓宽文化艺术视野。</w:t>
            </w:r>
          </w:p>
          <w:p>
            <w:pPr>
              <w:spacing w:line="240" w:lineRule="auto"/>
              <w:ind w:hanging="8"/>
              <w:jc w:val="left"/>
              <w:rPr>
                <w:rFonts w:hint="eastAsia" w:ascii="Times New Roman" w:hAnsi="宋体" w:eastAsia="宋体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ascii="Times New Roman" w:hAnsi="宋体"/>
                <w:b/>
                <w:szCs w:val="20"/>
              </w:rPr>
              <w:t>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教学重点：</w:t>
            </w:r>
            <w:r>
              <w:rPr>
                <w:rFonts w:hint="eastAsia" w:ascii="Times New Roman" w:hAnsi="Times New Roman"/>
                <w:szCs w:val="20"/>
                <w:lang w:val="en-US" w:eastAsia="zh-CN"/>
              </w:rPr>
              <w:t>了解流行舞蹈的发展进程与艺术成就。</w:t>
            </w:r>
          </w:p>
          <w:p>
            <w:pPr>
              <w:spacing w:line="240" w:lineRule="auto"/>
              <w:ind w:hanging="8"/>
              <w:rPr>
                <w:rFonts w:hint="default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教学难点：</w:t>
            </w:r>
            <w:r>
              <w:rPr>
                <w:rFonts w:hint="eastAsia" w:ascii="Times New Roman" w:hAnsi="Times New Roman"/>
                <w:szCs w:val="20"/>
                <w:lang w:val="en-US" w:eastAsia="zh-CN"/>
              </w:rPr>
              <w:t>通过流行舞蹈作品欣赏，感受不同类别作品的审美特征，从而具备一定的流行舞蹈鉴赏能力。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教学方法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1"/>
              </w:tabs>
              <w:spacing w:line="240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szCs w:val="20"/>
                <w:lang w:eastAsia="zh-CN"/>
              </w:rPr>
              <w:tab/>
            </w: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  <w:r>
              <w:rPr>
                <w:rFonts w:hint="eastAsia" w:ascii="Times New Roman" w:hAnsi="宋体"/>
                <w:szCs w:val="20"/>
                <w:lang w:eastAsia="zh-CN"/>
              </w:rPr>
              <w:t>、合作学习等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教学用具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hint="eastAsia" w:ascii="Times New Roman" w:hAnsi="宋体"/>
                <w:b/>
                <w:szCs w:val="20"/>
              </w:rPr>
              <w:t>教学设计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第1节课：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视频</w:t>
            </w:r>
            <w:r>
              <w:rPr>
                <w:rFonts w:hint="eastAsia" w:ascii="宋体" w:hAnsi="宋体" w:eastAsia="宋体" w:cs="宋体"/>
                <w:szCs w:val="20"/>
              </w:rPr>
              <w:t>导入（1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0"/>
              </w:rPr>
              <w:t>min）--传授新知（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Cs w:val="20"/>
              </w:rPr>
              <w:t>min）--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观摩学习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</w:p>
          <w:p>
            <w:pPr>
              <w:spacing w:line="240" w:lineRule="auto"/>
              <w:ind w:firstLine="1050" w:firstLineChars="500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--讨论与总结（10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）--布置综合活动任务（10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第2节课：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本章综合活动（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szCs w:val="20"/>
              </w:rPr>
              <w:t>min）--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评价与总结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</w:p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教学过程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4"/>
              </w:rPr>
              <w:t>主 要 教 学 内 容 及 步 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spacing w:line="240" w:lineRule="auto"/>
              <w:ind w:hanging="8"/>
              <w:jc w:val="center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视频导入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（10min）</w:t>
            </w:r>
          </w:p>
          <w:p>
            <w:pP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spacing w:line="264" w:lineRule="auto"/>
              <w:ind w:hanging="8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一、请欣赏舞蹈《Jellicle Songs for Jellicle Cats》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《Jellicle Songs for Jellicle Cats》（《杰里科歌颂杰里科猫》）是音乐剧《猫》的开场片段。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作为一部音乐剧，全剧由 20 余首乐曲组成，配合剧情发展和舞蹈场面，融合了爵士舞、现代舞、踢踏舞等多种形式。开场舞主要运用了爵士舞、现代舞表现猫儿艺术形象，演绎出爱与宽容的主题。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简介音乐剧《猫》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三、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艺术价值：这部音乐剧以猫这一集体内部发生的种种事件以及猫的情感世界，让观众感受到人性中最美好的情感因素。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default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激发学生的学习兴趣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传授新知</w:t>
            </w:r>
          </w:p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（20min）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一、什么是流行舞蹈？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流行舞蹈是指融合了时尚的音乐元素、服装元素、舞蹈动作为一体，具备较强时代感的舞蹈。流行舞蹈是反映当下人生活状态的舞蹈</w:t>
            </w:r>
            <w:r>
              <w:rPr>
                <w:rFonts w:hint="eastAsia" w:ascii="Times New Roman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，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集艺术、娱乐、健身、交际为一体，具有非常普遍的群众基础，为艺术的当代化、社会化以及舞蹈的个性化带来了巨大的发展空间。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二、流行舞蹈的形成与发展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流行舞蹈从 20 世纪 70 年代末 80 年代初改革开放后逐渐兴起，经历了从业余到专业、从边缘到主流、 从街头到剧场的发展历程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流行舞蹈的分类</w:t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 1. 爵士舞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    2. 踢踏舞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    3. 街舞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帮助学生了解流行</w:t>
            </w:r>
            <w:r>
              <w:rPr>
                <w:rFonts w:hint="eastAsia" w:ascii="Times New Roman" w:hAnsi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舞蹈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，不断拓展舞蹈思维，在流行舞蹈的发展、演变过程中，感受舞蹈文化的异彩纷呈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观摩学习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（40min）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="138" w:line="240" w:lineRule="auto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1. 音乐剧《猫》——《Jellicle Songs for Jellicle Cats》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 w:firstLine="420" w:firstLineChars="2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 电影《芝加哥》片尾舞段——《Nowadays/Hot Honey Rag》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left="420" w:leftChars="200" w:firstLine="0" w:firstLineChars="0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3. 舞剧《大河之舞》舞段：“与太阳共舞”</w:t>
            </w:r>
            <w:r>
              <w:rPr>
                <w:rFonts w:hint="eastAsia" w:ascii="宋体" w:hAnsi="宋体" w:eastAsia="宋体" w:cs="宋体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lang w:val="en-US" w:eastAsia="zh-CN"/>
              </w:rPr>
              <w:t>4. 舞剧《踢踏狗》舞段：“幕布后的踢踏”</w:t>
            </w:r>
            <w:r>
              <w:rPr>
                <w:rFonts w:hint="eastAsia" w:ascii="宋体" w:hAnsi="宋体" w:eastAsia="宋体" w:cs="宋体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lang w:val="en-US" w:eastAsia="zh-CN"/>
              </w:rPr>
              <w:t>5. 电影《舞出我人生》（第一部）结尾舞段</w:t>
            </w:r>
            <w:r>
              <w:rPr>
                <w:rFonts w:hint="eastAsia" w:ascii="宋体" w:hAnsi="宋体" w:eastAsia="宋体" w:cs="宋体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lang w:val="en-US" w:eastAsia="zh-CN"/>
              </w:rPr>
              <w:t>6. 街舞《黄河》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领略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流行舞蹈作品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的艺术魅力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讨论与总结（10min）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Chars="0" w:right="0" w:righ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1. 以上作品经典舞段观摩学习后，请学生选取某一舞段进行鉴赏与分析。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  <w:t>2. 教师阐述这一舞段的创作背景、作用及意义。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培养学生作品的鉴赏能力和术语运用能力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布置综合活动任务（10min）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一、目标与任务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1. 通过查找书籍、搜索网络与视频 APP 等方式，搜集爵士舞、踢踏舞、街舞优秀作品的视频、评论文章或相关信息，培养学生自主学习、合作探究的能力。 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2. 结合本章学习的爵士舞、踢踏舞、街舞的相关知识，选取流行舞蹈的某一优秀作品，以小组汇报的形式带领全班同学一同鉴赏，培养学生舞蹈鉴赏及理论运用的能力。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二、活动步骤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1. 布置任务：通过小组合作的方式，搜集流行舞蹈相关视频和资料，要求作品具有经典性，版本具有代表性，文字资料、媒体评价具有权威性和参考性。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    2. 分工合作 </w:t>
            </w:r>
          </w:p>
          <w:p>
            <w:pPr>
              <w:spacing w:line="240" w:lineRule="auto"/>
              <w:ind w:firstLine="210" w:firstLineChars="100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（1）根据班级情况分为 3～4 个小组，对资料进行搜集、整理，形成 PPT。 </w:t>
            </w:r>
          </w:p>
          <w:p>
            <w:pPr>
              <w:spacing w:line="240" w:lineRule="auto"/>
              <w:ind w:firstLine="210" w:firstLineChars="100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（2）小组内首先确定选取流行舞蹈中的哪种类型，进而进行分工。比如，选择踢踏舞，两名学生负责查找踢踏舞优秀作品；两名学生负责查找书籍中的资料；两名学生负责查找知 网等网站上的评论文章；两名学生负责搜集艺术家对该作的评价等；由组长进行汇总整理并形成 PPT。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  （3）其他小组根据情况，通过分工与合作的方式完成此项任务。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三、活动指导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1. 活动前的准备阶段，教师对学生查找视频、文字资料的方法给予指导与点拨。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    2. 引导学生通过网上自学、生生互学等方式，掌握简单的 PPT 制作方法。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通过为综合活动做前期准备，培养学生小组合作学习和检索信息的能力，加深对流行舞蹈的理解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本章综合活动（70min）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活动展示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 xml:space="preserve">各小组通过 PPT 分享作品的视频（或经典舞段），并根据查找到的资料和对作品的理解，带领全班同学进行鉴赏与分析。 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培养学生的语言表达能力和作品鉴赏能力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1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评价与总结（20min）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即时评价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420" w:firstLineChars="200"/>
              <w:jc w:val="left"/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1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. 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每小组分享过后，其他小组可对其选择的舞段及主要观点提出疑问或进行补充。 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2. 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所有小组分享过后，小组之间进行相互评价，从而相互学习。 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3. 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教师根据各组的表现及小组互评，对每组的优缺点进行评价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。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教师对学生选择的作品是否具有经典性、版本是否具有代表性、文字资料收集是否全面、准确，观点的提出是否经过独立思考等方面进行综合评价，培养学生自主学习、善于思考的能力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培养学生独立思考的能力，营造班级学生比学赶超的氛围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9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教学反思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通过本章学习，引导学生初步了解流行舞蹈的概念、特征与分类等，通过知识渗透与经典舞段鉴赏，帮助学生了解作品的创作背景、编创理念，熟悉流行舞蹈的发展现状及艺术价值。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由于课堂时间较为有限，可通过以上方式将流行舞蹈中的爵士舞、踢踏舞、街舞</w:t>
            </w:r>
            <w:r>
              <w:rPr>
                <w:rFonts w:hint="eastAsia" w:ascii="Times New Roman" w:hAnsi="Times New Roman"/>
                <w:lang w:val="en-US" w:eastAsia="zh-CN"/>
              </w:rPr>
              <w:t>作品中某一经典舞段单独进行赏析，以此为案例，帮助学生了解流行舞蹈作品鉴赏的视角与方法。课后，学生可在网上查找完整视频并搜索更多流行舞蹈作品进行观看。</w:t>
            </w:r>
          </w:p>
          <w:p>
            <w:pPr>
              <w:spacing w:line="240" w:lineRule="auto"/>
              <w:ind w:firstLine="420" w:firstLineChars="200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期望学生在了解流行舞蹈的基础上，不断拓展舞蹈思维，在流行舞蹈的发展、演变过程中，</w:t>
            </w:r>
            <w:r>
              <w:rPr>
                <w:rFonts w:hint="default" w:ascii="Times New Roman" w:hAnsi="Times New Roman"/>
                <w:lang w:val="en-US" w:eastAsia="zh-CN"/>
              </w:rPr>
              <w:t>感受舞蹈文化的异彩纷呈，并致力于通过舞蹈表演、创作和鉴赏，展现流行舞蹈的艺术魅力。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B30808"/>
    <w:multiLevelType w:val="singleLevel"/>
    <w:tmpl w:val="4DB3080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OTNhODFkZmQ1ZDY0ZDZkYjNmOWQ2ZDMxNDhmZjEifQ=="/>
  </w:docVars>
  <w:rsids>
    <w:rsidRoot w:val="00000000"/>
    <w:rsid w:val="01BF37C7"/>
    <w:rsid w:val="02587D81"/>
    <w:rsid w:val="05900FD6"/>
    <w:rsid w:val="06F97555"/>
    <w:rsid w:val="0D892B34"/>
    <w:rsid w:val="14EE4108"/>
    <w:rsid w:val="1CBA4DDE"/>
    <w:rsid w:val="20E56222"/>
    <w:rsid w:val="21F81422"/>
    <w:rsid w:val="2A85709B"/>
    <w:rsid w:val="32FE3023"/>
    <w:rsid w:val="35851F5B"/>
    <w:rsid w:val="37952274"/>
    <w:rsid w:val="3DC56D68"/>
    <w:rsid w:val="3DD84CED"/>
    <w:rsid w:val="3ED41958"/>
    <w:rsid w:val="419178A1"/>
    <w:rsid w:val="451A5BEB"/>
    <w:rsid w:val="47D546EC"/>
    <w:rsid w:val="500F7C90"/>
    <w:rsid w:val="52BF1740"/>
    <w:rsid w:val="58FB698C"/>
    <w:rsid w:val="60F82E2D"/>
    <w:rsid w:val="61A1534E"/>
    <w:rsid w:val="6F4A6F49"/>
    <w:rsid w:val="72DB435C"/>
    <w:rsid w:val="795E2F6A"/>
    <w:rsid w:val="797A798A"/>
    <w:rsid w:val="79FE105C"/>
    <w:rsid w:val="7C27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Body text|1"/>
    <w:basedOn w:val="1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2254</Words>
  <Characters>2445</Characters>
  <Lines>0</Lines>
  <Paragraphs>0</Paragraphs>
  <TotalTime>4</TotalTime>
  <ScaleCrop>false</ScaleCrop>
  <LinksUpToDate>false</LinksUpToDate>
  <CharactersWithSpaces>2554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2023-06-28T03:35:00Z</dcterms:created>
  <dc:creator>Administrator</dc:creator>
  <cp:lastModifiedBy>云卷云舒</cp:lastModifiedBy>
  <dcterms:modified xsi:type="dcterms:W3CDTF">2023-09-22T07:29:26Z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B7347E98ED72443194E9FA7DA15B661C_12</vt:lpwstr>
  </property>
</Properties>
</file>