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7384EE1">
      <w:pPr>
        <w:rPr>
          <w:rFonts w:hint="eastAsia" w:ascii="汉仪大宋简" w:hAnsi="Calibri" w:eastAsia="汉仪大宋简" w:cs="Times New Roman"/>
          <w:b/>
          <w:bCs/>
          <w:caps/>
          <w:color w:val="418D67"/>
          <w:sz w:val="30"/>
          <w:szCs w:val="30"/>
          <w:lang w:val="en-US" w:eastAsia="zh-CN" w:bidi="ar-SA"/>
        </w:rPr>
      </w:pPr>
      <w:bookmarkStart w:id="0" w:name="_GoBack"/>
      <w:r>
        <w:rPr>
          <w:sz w:val="36"/>
        </w:rPr>
        <mc:AlternateContent>
          <mc:Choice Requires="wps">
            <w:drawing>
              <wp:anchor distT="0" distB="0" distL="114300" distR="114300" simplePos="0" relativeHeight="251661312" behindDoc="0" locked="0" layoutInCell="1" allowOverlap="1">
                <wp:simplePos x="0" y="0"/>
                <wp:positionH relativeFrom="column">
                  <wp:posOffset>476885</wp:posOffset>
                </wp:positionH>
                <wp:positionV relativeFrom="paragraph">
                  <wp:posOffset>3408045</wp:posOffset>
                </wp:positionV>
                <wp:extent cx="5941060" cy="2393315"/>
                <wp:effectExtent l="0" t="0" r="0" b="0"/>
                <wp:wrapNone/>
                <wp:docPr id="13" name="文本框 13"/>
                <wp:cNvGraphicFramePr/>
                <a:graphic xmlns:a="http://schemas.openxmlformats.org/drawingml/2006/main">
                  <a:graphicData uri="http://schemas.microsoft.com/office/word/2010/wordprocessingShape">
                    <wps:wsp>
                      <wps:cNvSpPr txBox="1"/>
                      <wps:spPr>
                        <a:xfrm>
                          <a:off x="0" y="0"/>
                          <a:ext cx="5941060" cy="2393315"/>
                        </a:xfrm>
                        <a:prstGeom prst="rect">
                          <a:avLst/>
                        </a:prstGeom>
                        <a:noFill/>
                        <a:ln>
                          <a:noFill/>
                        </a:ln>
                      </wps:spPr>
                      <wps:txbx>
                        <w:txbxContent>
                          <w:p w14:paraId="2E71CCA1">
                            <w:pPr>
                              <w:spacing w:before="316" w:beforeLines="100" w:after="316" w:afterLines="100"/>
                              <w:jc w:val="center"/>
                              <w:rPr>
                                <w:rFonts w:hint="eastAsia" w:ascii="微软雅黑" w:hAnsi="微软雅黑" w:eastAsia="微软雅黑"/>
                                <w:b/>
                                <w:color w:val="C57995"/>
                                <w:sz w:val="84"/>
                                <w:szCs w:val="84"/>
                              </w:rPr>
                            </w:pPr>
                            <w:r>
                              <w:rPr>
                                <w:rFonts w:hint="eastAsia" w:ascii="微软雅黑" w:hAnsi="微软雅黑" w:eastAsia="微软雅黑"/>
                                <w:b/>
                                <w:color w:val="C57995"/>
                                <w:sz w:val="84"/>
                                <w:szCs w:val="84"/>
                              </w:rPr>
                              <w:t>《就业与创业指导》</w:t>
                            </w:r>
                          </w:p>
                          <w:p w14:paraId="0B576820">
                            <w:pPr>
                              <w:spacing w:before="316" w:beforeLines="100" w:after="316" w:afterLines="100"/>
                              <w:jc w:val="center"/>
                              <w:rPr>
                                <w:rFonts w:hint="eastAsia" w:ascii="微软雅黑" w:hAnsi="微软雅黑" w:eastAsia="微软雅黑"/>
                                <w:b/>
                                <w:color w:val="C57995"/>
                                <w:sz w:val="52"/>
                                <w:szCs w:val="52"/>
                              </w:rPr>
                            </w:pPr>
                            <w:r>
                              <w:rPr>
                                <w:rFonts w:hint="eastAsia" w:ascii="微软雅黑" w:hAnsi="微软雅黑" w:eastAsia="微软雅黑"/>
                                <w:b/>
                                <w:color w:val="C57995"/>
                                <w:sz w:val="52"/>
                                <w:szCs w:val="52"/>
                              </w:rPr>
                              <w:t>教</w:t>
                            </w:r>
                            <w:r>
                              <w:rPr>
                                <w:rFonts w:hint="eastAsia" w:ascii="微软雅黑" w:hAnsi="微软雅黑" w:eastAsia="微软雅黑"/>
                                <w:b/>
                                <w:color w:val="C57995"/>
                                <w:sz w:val="52"/>
                                <w:szCs w:val="52"/>
                                <w:lang w:val="en-US" w:eastAsia="zh-CN"/>
                              </w:rPr>
                              <w:t xml:space="preserve"> </w:t>
                            </w:r>
                            <w:r>
                              <w:rPr>
                                <w:rFonts w:hint="eastAsia" w:ascii="微软雅黑" w:hAnsi="微软雅黑" w:eastAsia="微软雅黑"/>
                                <w:b/>
                                <w:color w:val="C57995"/>
                                <w:sz w:val="52"/>
                                <w:szCs w:val="52"/>
                              </w:rPr>
                              <w:t>案</w:t>
                            </w:r>
                          </w:p>
                          <w:p w14:paraId="37489FF5"/>
                        </w:txbxContent>
                      </wps:txbx>
                      <wps:bodyPr upright="1"/>
                    </wps:wsp>
                  </a:graphicData>
                </a:graphic>
              </wp:anchor>
            </w:drawing>
          </mc:Choice>
          <mc:Fallback>
            <w:pict>
              <v:shape id="_x0000_s1026" o:spid="_x0000_s1026" o:spt="202" type="#_x0000_t202" style="position:absolute;left:0pt;margin-left:37.55pt;margin-top:268.35pt;height:188.45pt;width:467.8pt;z-index:251661312;mso-width-relative:page;mso-height-relative:page;" filled="f" stroked="f" coordsize="21600,21600" o:gfxdata="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">
                <v:path/>
                <v:fill on="f" focussize="0,0"/>
                <v:stroke on="f"/>
                <v:imagedata o:title=""/>
                <o:lock v:ext="edit" aspectratio="f"/>
                <v:textbox>
                  <w:txbxContent>
                    <w:p w14:paraId="2E71CCA1">
                      <w:pPr>
                        <w:spacing w:before="316" w:beforeLines="100" w:after="316" w:afterLines="100"/>
                        <w:jc w:val="center"/>
                        <w:rPr>
                          <w:rFonts w:hint="eastAsia" w:ascii="微软雅黑" w:hAnsi="微软雅黑" w:eastAsia="微软雅黑"/>
                          <w:b/>
                          <w:color w:val="C57995"/>
                          <w:sz w:val="84"/>
                          <w:szCs w:val="84"/>
                        </w:rPr>
                      </w:pPr>
                      <w:r>
                        <w:rPr>
                          <w:rFonts w:hint="eastAsia" w:ascii="微软雅黑" w:hAnsi="微软雅黑" w:eastAsia="微软雅黑"/>
                          <w:b/>
                          <w:color w:val="C57995"/>
                          <w:sz w:val="84"/>
                          <w:szCs w:val="84"/>
                        </w:rPr>
                        <w:t>《就业与创业指导》</w:t>
                      </w:r>
                    </w:p>
                    <w:p w14:paraId="0B576820">
                      <w:pPr>
                        <w:spacing w:before="316" w:beforeLines="100" w:after="316" w:afterLines="100"/>
                        <w:jc w:val="center"/>
                        <w:rPr>
                          <w:rFonts w:hint="eastAsia" w:ascii="微软雅黑" w:hAnsi="微软雅黑" w:eastAsia="微软雅黑"/>
                          <w:b/>
                          <w:color w:val="C57995"/>
                          <w:sz w:val="52"/>
                          <w:szCs w:val="52"/>
                        </w:rPr>
                      </w:pPr>
                      <w:r>
                        <w:rPr>
                          <w:rFonts w:hint="eastAsia" w:ascii="微软雅黑" w:hAnsi="微软雅黑" w:eastAsia="微软雅黑"/>
                          <w:b/>
                          <w:color w:val="C57995"/>
                          <w:sz w:val="52"/>
                          <w:szCs w:val="52"/>
                        </w:rPr>
                        <w:t>教</w:t>
                      </w:r>
                      <w:r>
                        <w:rPr>
                          <w:rFonts w:hint="eastAsia" w:ascii="微软雅黑" w:hAnsi="微软雅黑" w:eastAsia="微软雅黑"/>
                          <w:b/>
                          <w:color w:val="C57995"/>
                          <w:sz w:val="52"/>
                          <w:szCs w:val="52"/>
                          <w:lang w:val="en-US" w:eastAsia="zh-CN"/>
                        </w:rPr>
                        <w:t xml:space="preserve"> </w:t>
                      </w:r>
                      <w:r>
                        <w:rPr>
                          <w:rFonts w:hint="eastAsia" w:ascii="微软雅黑" w:hAnsi="微软雅黑" w:eastAsia="微软雅黑"/>
                          <w:b/>
                          <w:color w:val="C57995"/>
                          <w:sz w:val="52"/>
                          <w:szCs w:val="52"/>
                        </w:rPr>
                        <w:t>案</w:t>
                      </w:r>
                    </w:p>
                    <w:p w14:paraId="37489FF5"/>
                  </w:txbxContent>
                </v:textbox>
              </v:shape>
            </w:pict>
          </mc:Fallback>
        </mc:AlternateContent>
      </w:r>
      <w:r>
        <w:rPr>
          <w:rFonts w:hint="eastAsia" w:ascii="汉仪大宋简" w:hAnsi="Calibri" w:eastAsia="汉仪大宋简" w:cs="Times New Roman"/>
          <w:b/>
          <w:bCs/>
          <w:caps/>
          <w:color w:val="418D67"/>
          <w:sz w:val="30"/>
          <w:szCs w:val="30"/>
          <w:lang w:val="en-US" w:eastAsia="zh-CN" w:bidi="ar-SA"/>
        </w:rPr>
        <w:br w:type="page"/>
      </w:r>
    </w:p>
    <w:bookmarkEnd w:id="0"/>
    <w:p w14:paraId="32E60546">
      <w:pPr>
        <w:jc w:val="center"/>
        <w:rPr>
          <w:rFonts w:hint="eastAsia" w:ascii="汉仪大宋简" w:hAnsi="Calibri" w:eastAsia="汉仪大宋简" w:cs="Times New Roman"/>
          <w:b/>
          <w:bCs/>
          <w:caps/>
          <w:color w:val="418D67"/>
          <w:sz w:val="30"/>
          <w:szCs w:val="30"/>
          <w:lang w:val="en-US" w:eastAsia="zh-CN" w:bidi="ar-SA"/>
        </w:rPr>
      </w:pPr>
      <w:r>
        <w:rPr>
          <w:rFonts w:hint="eastAsia" w:ascii="汉仪大宋简" w:hAnsi="Calibri" w:eastAsia="汉仪大宋简" w:cs="Times New Roman"/>
          <w:b/>
          <w:bCs/>
          <w:caps/>
          <w:color w:val="418D67"/>
          <w:sz w:val="30"/>
          <w:szCs w:val="30"/>
          <w:lang w:val="en-US" w:eastAsia="zh-CN" w:bidi="ar-SA"/>
        </w:rPr>
        <w:t>第13课 创业融资</w:t>
      </w:r>
    </w:p>
    <w:tbl>
      <w:tblPr>
        <w:tblStyle w:val="4"/>
        <w:tblW w:w="9638" w:type="dxa"/>
        <w:jc w:val="center"/>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Layout w:type="fixed"/>
        <w:tblCellMar>
          <w:top w:w="0" w:type="dxa"/>
          <w:left w:w="108" w:type="dxa"/>
          <w:bottom w:w="0" w:type="dxa"/>
          <w:right w:w="108" w:type="dxa"/>
        </w:tblCellMar>
      </w:tblPr>
      <w:tblGrid>
        <w:gridCol w:w="1585"/>
        <w:gridCol w:w="6244"/>
        <w:gridCol w:w="1809"/>
      </w:tblGrid>
      <w:tr w14:paraId="2AD3C5E4">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567" w:hRule="atLeast"/>
          <w:jc w:val="center"/>
        </w:trPr>
        <w:tc>
          <w:tcPr>
            <w:tcW w:w="1389" w:type="dxa"/>
            <w:shd w:val="clear" w:color="auto" w:fill="E6F1EB"/>
            <w:noWrap w:val="0"/>
            <w:vAlign w:val="center"/>
          </w:tcPr>
          <w:p w14:paraId="78C3208B">
            <w:pPr>
              <w:pStyle w:val="6"/>
              <w:jc w:val="center"/>
              <w:rPr>
                <w:rFonts w:hint="eastAsia" w:ascii="宋体" w:hAnsi="宋体" w:eastAsia="宋体"/>
              </w:rPr>
            </w:pPr>
            <w:r>
              <w:rPr>
                <w:rFonts w:ascii="宋体" w:hAnsi="宋体" w:eastAsia="宋体"/>
              </w:rPr>
              <w:br w:type="page"/>
            </w:r>
            <w:r>
              <w:rPr>
                <w:rFonts w:hint="eastAsia" w:ascii="宋体" w:hAnsi="宋体" w:eastAsia="宋体"/>
                <w:b/>
                <w:shd w:val="clear" w:color="auto" w:fill="E6F1EB"/>
              </w:rPr>
              <w:t>课题</w:t>
            </w:r>
          </w:p>
        </w:tc>
        <w:tc>
          <w:tcPr>
            <w:tcW w:w="7057" w:type="dxa"/>
            <w:gridSpan w:val="2"/>
            <w:shd w:val="clear" w:color="auto" w:fill="FFFFFF"/>
            <w:noWrap w:val="0"/>
            <w:vAlign w:val="center"/>
          </w:tcPr>
          <w:p w14:paraId="5E8EFCC7">
            <w:pPr>
              <w:pStyle w:val="6"/>
              <w:jc w:val="center"/>
              <w:rPr>
                <w:rFonts w:hint="eastAsia" w:ascii="宋体" w:hAnsi="宋体" w:eastAsia="宋体"/>
                <w:b/>
                <w:color w:val="418D67"/>
                <w:sz w:val="30"/>
                <w:szCs w:val="30"/>
              </w:rPr>
            </w:pPr>
            <w:r>
              <w:rPr>
                <w:rFonts w:hint="eastAsia" w:ascii="宋体" w:hAnsi="宋体" w:eastAsia="宋体"/>
                <w:b/>
                <w:color w:val="418D67"/>
                <w:sz w:val="30"/>
                <w:szCs w:val="30"/>
              </w:rPr>
              <w:t>创业融资</w:t>
            </w:r>
            <w:r>
              <w:rPr>
                <w:rFonts w:hint="eastAsia" w:ascii="宋体" w:hAnsi="宋体" w:eastAsia="宋体"/>
                <w:b/>
                <w:color w:val="418D67"/>
                <w:sz w:val="30"/>
                <w:szCs w:val="30"/>
              </w:rPr>
              <w:tab/>
            </w:r>
          </w:p>
        </w:tc>
      </w:tr>
      <w:tr w14:paraId="1AA9B0F1">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567" w:hRule="atLeast"/>
          <w:jc w:val="center"/>
        </w:trPr>
        <w:tc>
          <w:tcPr>
            <w:tcW w:w="1389" w:type="dxa"/>
            <w:shd w:val="clear" w:color="auto" w:fill="F5F5E1"/>
            <w:noWrap w:val="0"/>
            <w:vAlign w:val="center"/>
          </w:tcPr>
          <w:p w14:paraId="1EE3485D">
            <w:pPr>
              <w:pStyle w:val="6"/>
              <w:jc w:val="center"/>
              <w:rPr>
                <w:rFonts w:hint="eastAsia" w:ascii="宋体" w:hAnsi="宋体" w:eastAsia="宋体"/>
              </w:rPr>
            </w:pPr>
            <w:r>
              <w:rPr>
                <w:rFonts w:hint="eastAsia" w:ascii="宋体" w:hAnsi="宋体" w:eastAsia="宋体"/>
                <w:b/>
              </w:rPr>
              <w:t>课时</w:t>
            </w:r>
          </w:p>
        </w:tc>
        <w:tc>
          <w:tcPr>
            <w:tcW w:w="7057" w:type="dxa"/>
            <w:gridSpan w:val="2"/>
            <w:shd w:val="clear" w:color="auto" w:fill="FFFFFF"/>
            <w:noWrap w:val="0"/>
            <w:vAlign w:val="center"/>
          </w:tcPr>
          <w:p w14:paraId="5009FB59">
            <w:pPr>
              <w:pStyle w:val="6"/>
              <w:ind w:firstLine="180" w:firstLineChars="100"/>
              <w:rPr>
                <w:rFonts w:ascii="宋体" w:hAnsi="宋体" w:eastAsia="宋体"/>
              </w:rPr>
            </w:pPr>
            <w:r>
              <w:rPr>
                <w:rFonts w:hint="eastAsia" w:ascii="宋体" w:hAnsi="宋体" w:eastAsia="宋体"/>
                <w:lang w:val="en-US" w:eastAsia="zh-CN"/>
              </w:rPr>
              <w:t>3</w:t>
            </w:r>
            <w:r>
              <w:rPr>
                <w:rFonts w:ascii="宋体" w:hAnsi="宋体" w:eastAsia="宋体"/>
              </w:rPr>
              <w:t>课时</w:t>
            </w:r>
            <w:r>
              <w:rPr>
                <w:rFonts w:hint="eastAsia" w:ascii="宋体" w:hAnsi="宋体" w:eastAsia="宋体"/>
              </w:rPr>
              <w:t>（</w:t>
            </w:r>
            <w:r>
              <w:rPr>
                <w:rFonts w:hint="eastAsia" w:ascii="宋体" w:hAnsi="宋体" w:eastAsia="宋体"/>
                <w:lang w:val="en-US" w:eastAsia="zh-CN"/>
              </w:rPr>
              <w:t>135</w:t>
            </w:r>
            <w:r>
              <w:rPr>
                <w:rFonts w:hint="eastAsia" w:ascii="宋体" w:hAnsi="宋体" w:eastAsia="宋体"/>
              </w:rPr>
              <w:t xml:space="preserve"> min）</w:t>
            </w:r>
          </w:p>
        </w:tc>
      </w:tr>
      <w:tr w14:paraId="09153EFD">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567" w:hRule="atLeast"/>
          <w:jc w:val="center"/>
        </w:trPr>
        <w:tc>
          <w:tcPr>
            <w:tcW w:w="1389" w:type="dxa"/>
            <w:shd w:val="clear" w:color="auto" w:fill="E6F1EB"/>
            <w:noWrap w:val="0"/>
            <w:vAlign w:val="center"/>
          </w:tcPr>
          <w:p w14:paraId="298D025A">
            <w:pPr>
              <w:pStyle w:val="6"/>
              <w:jc w:val="center"/>
              <w:rPr>
                <w:rFonts w:ascii="宋体" w:hAnsi="宋体" w:eastAsia="宋体"/>
              </w:rPr>
            </w:pPr>
            <w:r>
              <w:rPr>
                <w:rFonts w:ascii="宋体" w:hAnsi="宋体" w:eastAsia="宋体"/>
                <w:b/>
              </w:rPr>
              <w:t>教学目标</w:t>
            </w:r>
          </w:p>
        </w:tc>
        <w:tc>
          <w:tcPr>
            <w:tcW w:w="7057" w:type="dxa"/>
            <w:gridSpan w:val="2"/>
            <w:shd w:val="clear" w:color="auto" w:fill="FFFFFF"/>
            <w:noWrap w:val="0"/>
            <w:vAlign w:val="center"/>
          </w:tcPr>
          <w:p w14:paraId="5BE4E7A8">
            <w:pPr>
              <w:pStyle w:val="6"/>
              <w:ind w:firstLine="181" w:firstLineChars="100"/>
              <w:rPr>
                <w:rFonts w:hint="eastAsia" w:ascii="宋体" w:hAnsi="宋体" w:eastAsia="宋体"/>
                <w:b/>
                <w:color w:val="84615D"/>
              </w:rPr>
            </w:pPr>
            <w:r>
              <w:rPr>
                <w:rFonts w:hint="eastAsia" w:ascii="宋体" w:hAnsi="宋体" w:eastAsia="宋体"/>
                <w:b/>
                <w:color w:val="84615D"/>
              </w:rPr>
              <w:t>知识技能目标：</w:t>
            </w:r>
          </w:p>
          <w:p w14:paraId="59AAC0DD">
            <w:pPr>
              <w:pStyle w:val="6"/>
              <w:ind w:left="650" w:leftChars="100" w:hanging="450" w:hangingChars="250"/>
              <w:rPr>
                <w:rFonts w:hint="eastAsia" w:ascii="宋体" w:hAnsi="宋体" w:eastAsia="宋体"/>
              </w:rPr>
            </w:pPr>
            <w:r>
              <w:rPr>
                <w:rFonts w:hint="eastAsia" w:ascii="宋体" w:hAnsi="宋体" w:eastAsia="宋体"/>
              </w:rPr>
              <w:t>1. 了解创业融资的渠道。</w:t>
            </w:r>
          </w:p>
          <w:p w14:paraId="23615F62">
            <w:pPr>
              <w:pStyle w:val="6"/>
              <w:ind w:left="650" w:leftChars="100" w:hanging="450" w:hangingChars="250"/>
              <w:rPr>
                <w:rFonts w:hint="eastAsia" w:ascii="宋体" w:hAnsi="宋体" w:eastAsia="宋体"/>
              </w:rPr>
            </w:pPr>
            <w:r>
              <w:rPr>
                <w:rFonts w:hint="eastAsia" w:ascii="宋体" w:hAnsi="宋体" w:eastAsia="宋体"/>
              </w:rPr>
              <w:t>2. 会计算融资成本。</w:t>
            </w:r>
          </w:p>
          <w:p w14:paraId="3675B4DB">
            <w:pPr>
              <w:pStyle w:val="6"/>
              <w:ind w:left="650" w:leftChars="100" w:hanging="450" w:hangingChars="250"/>
              <w:rPr>
                <w:rFonts w:hint="eastAsia" w:ascii="宋体" w:hAnsi="宋体" w:eastAsia="宋体"/>
              </w:rPr>
            </w:pPr>
            <w:r>
              <w:rPr>
                <w:rFonts w:hint="eastAsia" w:ascii="宋体" w:hAnsi="宋体" w:eastAsia="宋体"/>
              </w:rPr>
              <w:t>3. 掌握融资流程。</w:t>
            </w:r>
          </w:p>
          <w:p w14:paraId="76E29720">
            <w:pPr>
              <w:pStyle w:val="6"/>
              <w:ind w:left="652" w:leftChars="100" w:hanging="452" w:hangingChars="250"/>
              <w:rPr>
                <w:rFonts w:ascii="宋体" w:hAnsi="宋体" w:eastAsia="宋体"/>
                <w:b/>
                <w:color w:val="84615D"/>
              </w:rPr>
            </w:pPr>
            <w:r>
              <w:rPr>
                <w:rFonts w:hint="eastAsia" w:ascii="宋体" w:hAnsi="宋体" w:eastAsia="宋体"/>
                <w:b/>
                <w:color w:val="84615D"/>
              </w:rPr>
              <w:t>思政育人目标：</w:t>
            </w:r>
          </w:p>
          <w:p w14:paraId="5D6CCAD8">
            <w:pPr>
              <w:pStyle w:val="6"/>
              <w:ind w:left="60" w:leftChars="30" w:firstLine="360" w:firstLineChars="200"/>
              <w:rPr>
                <w:rFonts w:hint="eastAsia" w:ascii="宋体" w:hAnsi="宋体" w:eastAsia="宋体"/>
                <w:lang w:eastAsia="zh-CN"/>
              </w:rPr>
            </w:pPr>
            <w:r>
              <w:rPr>
                <w:rFonts w:hint="eastAsia" w:ascii="宋体" w:hAnsi="宋体" w:eastAsia="宋体"/>
              </w:rPr>
              <w:t>通过学习开展创业融资课程，引导学生</w:t>
            </w:r>
            <w:r>
              <w:rPr>
                <w:rFonts w:hint="eastAsia" w:ascii="宋体" w:hAnsi="宋体" w:eastAsia="宋体"/>
                <w:lang w:eastAsia="zh-CN"/>
              </w:rPr>
              <w:t>了解融资对创业企业来说无疑十分重要，创业公司在融资过程中需要了解并准备哪些东西。</w:t>
            </w:r>
          </w:p>
        </w:tc>
      </w:tr>
      <w:tr w14:paraId="5FBF54D5">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567" w:hRule="atLeast"/>
          <w:jc w:val="center"/>
        </w:trPr>
        <w:tc>
          <w:tcPr>
            <w:tcW w:w="1389" w:type="dxa"/>
            <w:shd w:val="clear" w:color="auto" w:fill="F5F5E1"/>
            <w:noWrap w:val="0"/>
            <w:vAlign w:val="center"/>
          </w:tcPr>
          <w:p w14:paraId="52212061">
            <w:pPr>
              <w:pStyle w:val="6"/>
              <w:jc w:val="center"/>
              <w:rPr>
                <w:rFonts w:ascii="宋体" w:hAnsi="宋体" w:eastAsia="宋体"/>
              </w:rPr>
            </w:pPr>
            <w:r>
              <w:rPr>
                <w:rFonts w:ascii="宋体" w:hAnsi="宋体" w:eastAsia="宋体"/>
                <w:b/>
              </w:rPr>
              <w:t>教学重</w:t>
            </w:r>
            <w:r>
              <w:rPr>
                <w:rFonts w:hint="eastAsia" w:ascii="宋体" w:hAnsi="宋体" w:eastAsia="宋体"/>
                <w:b/>
              </w:rPr>
              <w:t>难</w:t>
            </w:r>
            <w:r>
              <w:rPr>
                <w:rFonts w:ascii="宋体" w:hAnsi="宋体" w:eastAsia="宋体"/>
                <w:b/>
              </w:rPr>
              <w:t>点</w:t>
            </w:r>
          </w:p>
        </w:tc>
        <w:tc>
          <w:tcPr>
            <w:tcW w:w="7057" w:type="dxa"/>
            <w:gridSpan w:val="2"/>
            <w:shd w:val="clear" w:color="auto" w:fill="FFFFFF"/>
            <w:noWrap w:val="0"/>
            <w:vAlign w:val="center"/>
          </w:tcPr>
          <w:p w14:paraId="5101CA16">
            <w:pPr>
              <w:pStyle w:val="6"/>
              <w:ind w:firstLine="181" w:firstLineChars="100"/>
              <w:rPr>
                <w:rFonts w:ascii="宋体" w:hAnsi="宋体" w:eastAsia="宋体"/>
              </w:rPr>
            </w:pPr>
            <w:r>
              <w:rPr>
                <w:rFonts w:hint="eastAsia" w:ascii="宋体" w:hAnsi="宋体" w:eastAsia="宋体"/>
                <w:b/>
                <w:color w:val="84615D"/>
              </w:rPr>
              <w:t>教学重点：</w:t>
            </w:r>
            <w:r>
              <w:rPr>
                <w:rFonts w:hint="eastAsia" w:ascii="宋体" w:hAnsi="宋体" w:eastAsia="宋体"/>
              </w:rPr>
              <w:t>创业企业融资成本</w:t>
            </w:r>
          </w:p>
          <w:p w14:paraId="73A5546B">
            <w:pPr>
              <w:pStyle w:val="6"/>
              <w:ind w:firstLine="181" w:firstLineChars="100"/>
              <w:rPr>
                <w:rFonts w:hint="eastAsia" w:ascii="宋体" w:hAnsi="宋体" w:eastAsia="宋体"/>
              </w:rPr>
            </w:pPr>
            <w:r>
              <w:rPr>
                <w:rFonts w:hint="eastAsia" w:ascii="宋体" w:hAnsi="宋体" w:eastAsia="宋体"/>
                <w:b/>
                <w:color w:val="84615D"/>
              </w:rPr>
              <w:t>教学难点：</w:t>
            </w:r>
            <w:r>
              <w:rPr>
                <w:rFonts w:hint="eastAsia" w:ascii="宋体" w:hAnsi="宋体" w:eastAsia="宋体"/>
              </w:rPr>
              <w:t>创业企业融资流程及主要内容</w:t>
            </w:r>
          </w:p>
        </w:tc>
      </w:tr>
      <w:tr w14:paraId="154D19D6">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567" w:hRule="atLeast"/>
          <w:jc w:val="center"/>
        </w:trPr>
        <w:tc>
          <w:tcPr>
            <w:tcW w:w="1389" w:type="dxa"/>
            <w:shd w:val="clear" w:color="auto" w:fill="E6F1EB"/>
            <w:noWrap w:val="0"/>
            <w:vAlign w:val="center"/>
          </w:tcPr>
          <w:p w14:paraId="55911A16">
            <w:pPr>
              <w:pStyle w:val="6"/>
              <w:jc w:val="center"/>
              <w:rPr>
                <w:rFonts w:ascii="宋体" w:hAnsi="宋体" w:eastAsia="宋体"/>
              </w:rPr>
            </w:pPr>
            <w:r>
              <w:rPr>
                <w:rFonts w:ascii="宋体" w:hAnsi="宋体" w:eastAsia="宋体"/>
                <w:b/>
              </w:rPr>
              <w:t>教学方法</w:t>
            </w:r>
          </w:p>
        </w:tc>
        <w:tc>
          <w:tcPr>
            <w:tcW w:w="7057" w:type="dxa"/>
            <w:gridSpan w:val="2"/>
            <w:shd w:val="clear" w:color="auto" w:fill="FFFFFF"/>
            <w:noWrap w:val="0"/>
            <w:vAlign w:val="center"/>
          </w:tcPr>
          <w:p w14:paraId="27B272EE">
            <w:pPr>
              <w:pStyle w:val="6"/>
              <w:ind w:firstLine="180" w:firstLineChars="100"/>
              <w:rPr>
                <w:rFonts w:ascii="宋体" w:hAnsi="宋体" w:eastAsia="宋体"/>
              </w:rPr>
            </w:pPr>
            <w:r>
              <w:rPr>
                <w:rFonts w:hint="eastAsia" w:ascii="宋体" w:hAnsi="宋体" w:eastAsia="宋体"/>
              </w:rPr>
              <w:t>讲授法、问答法、讨论法、演示法、实践法</w:t>
            </w:r>
          </w:p>
        </w:tc>
      </w:tr>
      <w:tr w14:paraId="569271BB">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567" w:hRule="atLeast"/>
          <w:jc w:val="center"/>
        </w:trPr>
        <w:tc>
          <w:tcPr>
            <w:tcW w:w="1389" w:type="dxa"/>
            <w:shd w:val="clear" w:color="auto" w:fill="F5F5E1"/>
            <w:noWrap w:val="0"/>
            <w:vAlign w:val="center"/>
          </w:tcPr>
          <w:p w14:paraId="302182DF">
            <w:pPr>
              <w:pStyle w:val="6"/>
              <w:jc w:val="center"/>
              <w:rPr>
                <w:rFonts w:ascii="宋体" w:hAnsi="宋体" w:eastAsia="宋体"/>
              </w:rPr>
            </w:pPr>
            <w:r>
              <w:rPr>
                <w:rFonts w:ascii="宋体" w:hAnsi="宋体" w:eastAsia="宋体"/>
                <w:b/>
              </w:rPr>
              <w:t>教学用具</w:t>
            </w:r>
          </w:p>
        </w:tc>
        <w:tc>
          <w:tcPr>
            <w:tcW w:w="7057" w:type="dxa"/>
            <w:gridSpan w:val="2"/>
            <w:shd w:val="clear" w:color="auto" w:fill="FFFFFF"/>
            <w:noWrap w:val="0"/>
            <w:vAlign w:val="center"/>
          </w:tcPr>
          <w:p w14:paraId="30622E96">
            <w:pPr>
              <w:pStyle w:val="6"/>
              <w:ind w:firstLine="180" w:firstLineChars="100"/>
              <w:rPr>
                <w:rFonts w:ascii="宋体" w:hAnsi="宋体" w:eastAsia="宋体"/>
              </w:rPr>
            </w:pPr>
            <w:r>
              <w:rPr>
                <w:rFonts w:hint="eastAsia" w:ascii="宋体" w:hAnsi="宋体" w:eastAsia="宋体"/>
              </w:rPr>
              <w:t>电脑、投影仪、</w:t>
            </w:r>
            <w:r>
              <w:rPr>
                <w:rFonts w:ascii="宋体" w:hAnsi="宋体" w:eastAsia="宋体"/>
              </w:rPr>
              <w:t>多媒体</w:t>
            </w:r>
            <w:r>
              <w:rPr>
                <w:rFonts w:hint="eastAsia" w:ascii="宋体" w:hAnsi="宋体" w:eastAsia="宋体"/>
              </w:rPr>
              <w:t>课件、教材</w:t>
            </w:r>
          </w:p>
        </w:tc>
      </w:tr>
      <w:tr w14:paraId="31C58191">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567" w:hRule="atLeast"/>
          <w:jc w:val="center"/>
        </w:trPr>
        <w:tc>
          <w:tcPr>
            <w:tcW w:w="1389" w:type="dxa"/>
            <w:shd w:val="clear" w:color="auto" w:fill="E6F1EB"/>
            <w:noWrap w:val="0"/>
            <w:vAlign w:val="center"/>
          </w:tcPr>
          <w:p w14:paraId="46859C7F">
            <w:pPr>
              <w:pStyle w:val="6"/>
              <w:jc w:val="center"/>
              <w:rPr>
                <w:rFonts w:ascii="宋体" w:hAnsi="宋体" w:eastAsia="宋体"/>
              </w:rPr>
            </w:pPr>
            <w:r>
              <w:rPr>
                <w:rFonts w:hint="eastAsia" w:ascii="宋体" w:hAnsi="宋体" w:eastAsia="宋体"/>
                <w:b/>
              </w:rPr>
              <w:t>教学设计</w:t>
            </w:r>
          </w:p>
        </w:tc>
        <w:tc>
          <w:tcPr>
            <w:tcW w:w="7057" w:type="dxa"/>
            <w:gridSpan w:val="2"/>
            <w:shd w:val="clear" w:color="auto" w:fill="FFFFFF"/>
            <w:noWrap w:val="0"/>
            <w:vAlign w:val="center"/>
          </w:tcPr>
          <w:p w14:paraId="6C761AEB">
            <w:pPr>
              <w:pStyle w:val="6"/>
              <w:ind w:left="1140" w:leftChars="100" w:hanging="940" w:hangingChars="520"/>
              <w:rPr>
                <w:rFonts w:ascii="宋体" w:hAnsi="宋体" w:eastAsia="宋体"/>
              </w:rPr>
            </w:pPr>
            <w:r>
              <w:rPr>
                <w:rFonts w:hint="eastAsia" w:ascii="宋体" w:hAnsi="宋体" w:eastAsia="宋体"/>
                <w:b/>
                <w:color w:val="418D67"/>
              </w:rPr>
              <w:t>第1节课：</w:t>
            </w:r>
            <w:r>
              <w:rPr>
                <w:rFonts w:hint="eastAsia" w:ascii="宋体" w:hAnsi="宋体" w:eastAsia="宋体"/>
                <w:spacing w:val="-4"/>
              </w:rPr>
              <w:t>课前任务</w:t>
            </w:r>
            <w:r>
              <w:rPr>
                <w:rFonts w:hint="eastAsia"/>
                <w:spacing w:val="-4"/>
              </w:rPr>
              <w:t>→</w:t>
            </w:r>
            <w:r>
              <w:rPr>
                <w:rFonts w:ascii="宋体" w:hAnsi="宋体" w:eastAsia="宋体"/>
                <w:spacing w:val="-4"/>
              </w:rPr>
              <w:t> </w:t>
            </w:r>
            <w:r>
              <w:rPr>
                <w:rFonts w:hint="eastAsia" w:ascii="宋体" w:hAnsi="宋体" w:eastAsia="宋体"/>
                <w:spacing w:val="-4"/>
              </w:rPr>
              <w:t>考勤（2</w:t>
            </w:r>
            <w:r>
              <w:rPr>
                <w:rFonts w:ascii="宋体" w:hAnsi="宋体" w:eastAsia="宋体"/>
                <w:spacing w:val="-4"/>
              </w:rPr>
              <w:t xml:space="preserve"> min</w:t>
            </w:r>
            <w:r>
              <w:rPr>
                <w:rFonts w:hint="eastAsia" w:ascii="宋体" w:hAnsi="宋体" w:eastAsia="宋体"/>
                <w:spacing w:val="-4"/>
              </w:rPr>
              <w:t>）</w:t>
            </w:r>
            <w:r>
              <w:rPr>
                <w:rFonts w:hint="eastAsia"/>
                <w:spacing w:val="-4"/>
              </w:rPr>
              <w:t>→</w:t>
            </w:r>
            <w:r>
              <w:rPr>
                <w:rFonts w:ascii="宋体" w:hAnsi="宋体" w:eastAsia="宋体"/>
                <w:spacing w:val="-4"/>
              </w:rPr>
              <w:t> </w:t>
            </w:r>
            <w:r>
              <w:rPr>
                <w:rFonts w:hint="eastAsia" w:ascii="宋体" w:hAnsi="宋体" w:eastAsia="宋体"/>
                <w:spacing w:val="-4"/>
              </w:rPr>
              <w:t>引例导入（</w:t>
            </w:r>
            <w:r>
              <w:rPr>
                <w:rFonts w:ascii="宋体" w:hAnsi="宋体" w:eastAsia="宋体"/>
                <w:spacing w:val="-4"/>
              </w:rPr>
              <w:t>10 min</w:t>
            </w:r>
            <w:r>
              <w:rPr>
                <w:rFonts w:hint="eastAsia" w:ascii="宋体" w:hAnsi="宋体" w:eastAsia="宋体"/>
                <w:spacing w:val="-4"/>
              </w:rPr>
              <w:t>）</w:t>
            </w:r>
            <w:r>
              <w:rPr>
                <w:rFonts w:hint="eastAsia"/>
                <w:spacing w:val="-4"/>
              </w:rPr>
              <w:t>→</w:t>
            </w:r>
            <w:r>
              <w:rPr>
                <w:rFonts w:ascii="宋体" w:hAnsi="宋体" w:eastAsia="宋体"/>
                <w:spacing w:val="-4"/>
              </w:rPr>
              <w:t> </w:t>
            </w:r>
            <w:r>
              <w:rPr>
                <w:rFonts w:hint="eastAsia" w:ascii="宋体" w:hAnsi="宋体" w:eastAsia="宋体"/>
                <w:spacing w:val="-4"/>
              </w:rPr>
              <w:t>知识讲解（</w:t>
            </w:r>
            <w:r>
              <w:rPr>
                <w:rFonts w:ascii="宋体" w:hAnsi="宋体" w:eastAsia="宋体"/>
                <w:spacing w:val="-4"/>
              </w:rPr>
              <w:t>23 min</w:t>
            </w:r>
            <w:r>
              <w:rPr>
                <w:rFonts w:hint="eastAsia" w:ascii="宋体" w:hAnsi="宋体" w:eastAsia="宋体"/>
                <w:spacing w:val="-4"/>
              </w:rPr>
              <w:t>）</w:t>
            </w:r>
            <w:r>
              <w:rPr>
                <w:rFonts w:hint="eastAsia"/>
                <w:spacing w:val="-4"/>
              </w:rPr>
              <w:t>→</w:t>
            </w:r>
            <w:r>
              <w:rPr>
                <w:rFonts w:hint="eastAsia" w:ascii="宋体" w:hAnsi="宋体" w:eastAsia="宋体"/>
              </w:rPr>
              <w:t>课堂测验（</w:t>
            </w:r>
            <w:r>
              <w:rPr>
                <w:rFonts w:ascii="宋体" w:hAnsi="宋体" w:eastAsia="宋体"/>
              </w:rPr>
              <w:t>10 min</w:t>
            </w:r>
            <w:r>
              <w:rPr>
                <w:rFonts w:hint="eastAsia" w:ascii="宋体" w:hAnsi="宋体" w:eastAsia="宋体"/>
              </w:rPr>
              <w:t>）</w:t>
            </w:r>
          </w:p>
          <w:p w14:paraId="0FC6FD34">
            <w:pPr>
              <w:pStyle w:val="6"/>
              <w:ind w:left="1140" w:leftChars="100" w:hanging="940" w:hangingChars="520"/>
              <w:rPr>
                <w:rFonts w:hint="eastAsia" w:ascii="宋体" w:hAnsi="宋体" w:eastAsia="宋体"/>
              </w:rPr>
            </w:pPr>
            <w:r>
              <w:rPr>
                <w:rFonts w:hint="eastAsia" w:ascii="宋体" w:hAnsi="宋体" w:eastAsia="宋体"/>
                <w:b/>
                <w:color w:val="418D67"/>
              </w:rPr>
              <w:t>第2节课：</w:t>
            </w:r>
            <w:r>
              <w:rPr>
                <w:rFonts w:hint="eastAsia" w:ascii="宋体" w:hAnsi="宋体" w:eastAsia="宋体"/>
                <w:spacing w:val="-4"/>
              </w:rPr>
              <w:t>知识讲解（</w:t>
            </w:r>
            <w:r>
              <w:rPr>
                <w:rFonts w:hint="eastAsia" w:ascii="宋体" w:hAnsi="宋体" w:eastAsia="宋体"/>
                <w:spacing w:val="-4"/>
                <w:lang w:val="en-US" w:eastAsia="zh-CN"/>
              </w:rPr>
              <w:t>35</w:t>
            </w:r>
            <w:r>
              <w:rPr>
                <w:rFonts w:ascii="宋体" w:hAnsi="宋体" w:eastAsia="宋体"/>
                <w:spacing w:val="-4"/>
              </w:rPr>
              <w:t>min</w:t>
            </w:r>
            <w:r>
              <w:rPr>
                <w:rFonts w:hint="eastAsia" w:ascii="宋体" w:hAnsi="宋体" w:eastAsia="宋体"/>
                <w:spacing w:val="-4"/>
              </w:rPr>
              <w:t>）</w:t>
            </w:r>
            <w:r>
              <w:rPr>
                <w:rFonts w:hint="eastAsia"/>
                <w:spacing w:val="-4"/>
              </w:rPr>
              <w:t>→</w:t>
            </w:r>
            <w:r>
              <w:rPr>
                <w:rFonts w:hint="eastAsia" w:ascii="宋体" w:hAnsi="宋体" w:eastAsia="宋体"/>
                <w:lang w:eastAsia="zh-CN"/>
              </w:rPr>
              <w:t>作业布置</w:t>
            </w:r>
            <w:r>
              <w:rPr>
                <w:rFonts w:hint="eastAsia" w:ascii="宋体" w:hAnsi="宋体" w:eastAsia="宋体"/>
              </w:rPr>
              <w:t>（</w:t>
            </w:r>
            <w:r>
              <w:rPr>
                <w:rFonts w:hint="eastAsia" w:ascii="宋体" w:hAnsi="宋体" w:eastAsia="宋体"/>
                <w:lang w:val="en-US" w:eastAsia="zh-CN"/>
              </w:rPr>
              <w:t>5</w:t>
            </w:r>
            <w:r>
              <w:rPr>
                <w:rFonts w:ascii="宋体" w:hAnsi="宋体" w:eastAsia="宋体"/>
              </w:rPr>
              <w:t>min</w:t>
            </w:r>
            <w:r>
              <w:rPr>
                <w:rFonts w:hint="eastAsia" w:ascii="宋体" w:hAnsi="宋体" w:eastAsia="宋体"/>
              </w:rPr>
              <w:t>）</w:t>
            </w:r>
            <w:r>
              <w:rPr>
                <w:rFonts w:hint="eastAsia"/>
                <w:spacing w:val="-4"/>
              </w:rPr>
              <w:t>→</w:t>
            </w:r>
            <w:r>
              <w:rPr>
                <w:rFonts w:hint="eastAsia" w:ascii="宋体" w:hAnsi="宋体" w:eastAsia="宋体"/>
              </w:rPr>
              <w:t>课堂小结（</w:t>
            </w:r>
            <w:r>
              <w:rPr>
                <w:rFonts w:ascii="宋体" w:hAnsi="宋体" w:eastAsia="宋体"/>
              </w:rPr>
              <w:t>5 min</w:t>
            </w:r>
            <w:r>
              <w:rPr>
                <w:rFonts w:hint="eastAsia" w:ascii="宋体" w:hAnsi="宋体" w:eastAsia="宋体"/>
              </w:rPr>
              <w:t>）</w:t>
            </w:r>
          </w:p>
          <w:p w14:paraId="713B38A1">
            <w:pPr>
              <w:pStyle w:val="6"/>
              <w:ind w:left="1140" w:leftChars="100" w:hanging="940" w:hangingChars="520"/>
              <w:rPr>
                <w:rFonts w:hint="eastAsia" w:ascii="宋体" w:hAnsi="宋体" w:eastAsia="宋体"/>
                <w:sz w:val="18"/>
                <w:szCs w:val="18"/>
              </w:rPr>
            </w:pPr>
            <w:r>
              <w:rPr>
                <w:rFonts w:hint="eastAsia" w:ascii="宋体" w:hAnsi="宋体" w:eastAsia="宋体"/>
                <w:b/>
                <w:color w:val="418D67"/>
                <w:sz w:val="18"/>
                <w:szCs w:val="18"/>
              </w:rPr>
              <w:t>第</w:t>
            </w:r>
            <w:r>
              <w:rPr>
                <w:rFonts w:hint="eastAsia" w:ascii="宋体" w:hAnsi="宋体" w:eastAsia="宋体"/>
                <w:b/>
                <w:color w:val="418D67"/>
                <w:sz w:val="18"/>
                <w:szCs w:val="18"/>
                <w:lang w:val="en-US" w:eastAsia="zh-CN"/>
              </w:rPr>
              <w:t>3</w:t>
            </w:r>
            <w:r>
              <w:rPr>
                <w:rFonts w:hint="eastAsia" w:ascii="宋体" w:hAnsi="宋体" w:eastAsia="宋体"/>
                <w:b/>
                <w:color w:val="418D67"/>
                <w:sz w:val="18"/>
                <w:szCs w:val="18"/>
              </w:rPr>
              <w:t>节课：</w:t>
            </w:r>
            <w:r>
              <w:rPr>
                <w:rFonts w:hint="eastAsia" w:ascii="宋体" w:hAnsi="宋体" w:eastAsia="宋体"/>
                <w:spacing w:val="-4"/>
                <w:sz w:val="18"/>
                <w:szCs w:val="18"/>
              </w:rPr>
              <w:t>知识讲解（3</w:t>
            </w:r>
            <w:r>
              <w:rPr>
                <w:rFonts w:hint="eastAsia" w:ascii="宋体" w:hAnsi="宋体" w:eastAsia="宋体"/>
                <w:spacing w:val="-4"/>
                <w:sz w:val="18"/>
                <w:szCs w:val="18"/>
                <w:lang w:val="en-US" w:eastAsia="zh-CN"/>
              </w:rPr>
              <w:t>5</w:t>
            </w:r>
            <w:r>
              <w:rPr>
                <w:rFonts w:hint="eastAsia" w:ascii="宋体" w:hAnsi="宋体" w:eastAsia="宋体"/>
                <w:spacing w:val="-4"/>
                <w:sz w:val="18"/>
                <w:szCs w:val="18"/>
              </w:rPr>
              <w:t xml:space="preserve"> min）</w:t>
            </w:r>
            <w:r>
              <w:rPr>
                <w:rFonts w:hint="default"/>
                <w:spacing w:val="-4"/>
                <w:sz w:val="18"/>
                <w:szCs w:val="18"/>
              </w:rPr>
              <w:t>→</w:t>
            </w:r>
            <w:r>
              <w:rPr>
                <w:rFonts w:hint="eastAsia" w:ascii="宋体" w:hAnsi="宋体" w:eastAsia="宋体"/>
                <w:sz w:val="18"/>
                <w:szCs w:val="18"/>
              </w:rPr>
              <w:t>作业布置（</w:t>
            </w:r>
            <w:r>
              <w:rPr>
                <w:rFonts w:hint="eastAsia" w:ascii="宋体" w:hAnsi="宋体" w:eastAsia="宋体"/>
                <w:sz w:val="18"/>
                <w:szCs w:val="18"/>
                <w:lang w:val="en-US" w:eastAsia="zh-CN"/>
              </w:rPr>
              <w:t>5</w:t>
            </w:r>
            <w:r>
              <w:rPr>
                <w:rFonts w:hint="eastAsia" w:ascii="宋体" w:hAnsi="宋体" w:eastAsia="宋体"/>
                <w:sz w:val="18"/>
                <w:szCs w:val="18"/>
              </w:rPr>
              <w:t>min）</w:t>
            </w:r>
            <w:r>
              <w:rPr>
                <w:rFonts w:hint="default"/>
                <w:spacing w:val="-4"/>
                <w:sz w:val="18"/>
                <w:szCs w:val="18"/>
              </w:rPr>
              <w:t>→</w:t>
            </w:r>
            <w:r>
              <w:rPr>
                <w:rFonts w:hint="eastAsia" w:ascii="宋体" w:hAnsi="宋体" w:eastAsia="宋体"/>
                <w:sz w:val="18"/>
                <w:szCs w:val="18"/>
              </w:rPr>
              <w:t>课堂小结（5 min）</w:t>
            </w:r>
          </w:p>
        </w:tc>
      </w:tr>
      <w:tr w14:paraId="2D9A6032">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567" w:hRule="atLeast"/>
          <w:jc w:val="center"/>
        </w:trPr>
        <w:tc>
          <w:tcPr>
            <w:tcW w:w="1389" w:type="dxa"/>
            <w:shd w:val="clear" w:color="auto" w:fill="F5F5E1"/>
            <w:noWrap w:val="0"/>
            <w:vAlign w:val="center"/>
          </w:tcPr>
          <w:p w14:paraId="075202BE">
            <w:pPr>
              <w:pStyle w:val="6"/>
              <w:jc w:val="center"/>
              <w:rPr>
                <w:rFonts w:hint="eastAsia" w:ascii="宋体" w:hAnsi="宋体" w:eastAsia="宋体"/>
                <w:b/>
                <w:color w:val="5D8979"/>
                <w:sz w:val="24"/>
                <w:szCs w:val="24"/>
              </w:rPr>
            </w:pPr>
            <w:r>
              <w:rPr>
                <w:rFonts w:hint="eastAsia" w:ascii="宋体" w:hAnsi="宋体" w:eastAsia="宋体"/>
                <w:b/>
                <w:color w:val="5D8979"/>
                <w:sz w:val="24"/>
                <w:szCs w:val="24"/>
              </w:rPr>
              <w:t>教学过程</w:t>
            </w:r>
          </w:p>
        </w:tc>
        <w:tc>
          <w:tcPr>
            <w:tcW w:w="5472" w:type="dxa"/>
            <w:shd w:val="clear" w:color="auto" w:fill="F5F5E1"/>
            <w:noWrap w:val="0"/>
            <w:vAlign w:val="center"/>
          </w:tcPr>
          <w:p w14:paraId="2002A185">
            <w:pPr>
              <w:pStyle w:val="6"/>
              <w:jc w:val="center"/>
              <w:rPr>
                <w:rFonts w:ascii="宋体" w:hAnsi="宋体" w:eastAsia="宋体"/>
                <w:b/>
                <w:color w:val="5D8979"/>
                <w:sz w:val="24"/>
                <w:szCs w:val="24"/>
              </w:rPr>
            </w:pPr>
            <w:r>
              <w:rPr>
                <w:rFonts w:hint="eastAsia" w:ascii="宋体" w:hAnsi="宋体" w:eastAsia="宋体"/>
                <w:b/>
                <w:color w:val="5D8979"/>
                <w:sz w:val="24"/>
                <w:szCs w:val="24"/>
              </w:rPr>
              <w:t>主要教学内容及步骤</w:t>
            </w:r>
          </w:p>
        </w:tc>
        <w:tc>
          <w:tcPr>
            <w:tcW w:w="1585" w:type="dxa"/>
            <w:shd w:val="clear" w:color="auto" w:fill="F5F5E1"/>
            <w:noWrap w:val="0"/>
            <w:vAlign w:val="center"/>
          </w:tcPr>
          <w:p w14:paraId="0C6312D0">
            <w:pPr>
              <w:pStyle w:val="6"/>
              <w:jc w:val="center"/>
              <w:rPr>
                <w:rFonts w:ascii="宋体" w:hAnsi="宋体" w:eastAsia="宋体"/>
                <w:b/>
                <w:color w:val="5D8979"/>
                <w:sz w:val="24"/>
                <w:szCs w:val="24"/>
              </w:rPr>
            </w:pPr>
            <w:r>
              <w:rPr>
                <w:rFonts w:ascii="宋体" w:hAnsi="宋体" w:eastAsia="宋体"/>
                <w:b/>
                <w:color w:val="5D8979"/>
                <w:sz w:val="24"/>
                <w:szCs w:val="24"/>
              </w:rPr>
              <w:t>设计意图</w:t>
            </w:r>
          </w:p>
        </w:tc>
      </w:tr>
      <w:tr w14:paraId="2159AC26">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567" w:hRule="atLeast"/>
          <w:jc w:val="center"/>
        </w:trPr>
        <w:tc>
          <w:tcPr>
            <w:tcW w:w="1389" w:type="dxa"/>
            <w:shd w:val="clear" w:color="auto" w:fill="F5F5E1"/>
            <w:noWrap w:val="0"/>
            <w:vAlign w:val="center"/>
          </w:tcPr>
          <w:p w14:paraId="3A634664">
            <w:pPr>
              <w:pStyle w:val="6"/>
              <w:jc w:val="center"/>
              <w:rPr>
                <w:rFonts w:hint="eastAsia" w:ascii="宋体" w:hAnsi="宋体" w:eastAsia="宋体"/>
                <w:color w:val="872F2A"/>
                <w:sz w:val="24"/>
                <w:szCs w:val="24"/>
              </w:rPr>
            </w:pPr>
            <w:r>
              <w:rPr>
                <w:rFonts w:hint="eastAsia" w:ascii="宋体" w:hAnsi="宋体" w:eastAsia="宋体"/>
                <w:b/>
              </w:rPr>
              <w:t>课前任务</w:t>
            </w:r>
          </w:p>
        </w:tc>
        <w:tc>
          <w:tcPr>
            <w:tcW w:w="5472" w:type="dxa"/>
            <w:shd w:val="clear" w:color="auto" w:fill="FFFFFF"/>
            <w:noWrap w:val="0"/>
            <w:vAlign w:val="center"/>
          </w:tcPr>
          <w:p w14:paraId="721CAF8B">
            <w:pPr>
              <w:pStyle w:val="6"/>
              <w:spacing w:before="200" w:after="60"/>
              <w:rPr>
                <w:rFonts w:ascii="宋体" w:hAnsi="宋体" w:eastAsia="宋体"/>
                <w:b/>
                <w:color w:val="5D8979"/>
                <w:spacing w:val="2"/>
              </w:rPr>
            </w:pPr>
            <w:r>
              <w:rPr>
                <w:rFonts w:hint="eastAsia" w:ascii="宋体" w:hAnsi="宋体" w:eastAsia="宋体"/>
                <w:b/>
                <w:color w:val="5D8979"/>
                <w:spacing w:val="2"/>
              </w:rPr>
              <w:t>【教师】布置课前问答题：</w:t>
            </w:r>
          </w:p>
          <w:p w14:paraId="0C7AFF82">
            <w:pPr>
              <w:pStyle w:val="6"/>
              <w:shd w:val="clear" w:color="auto" w:fill="FFFFFF"/>
              <w:ind w:firstLine="352" w:firstLineChars="200"/>
              <w:rPr>
                <w:rFonts w:hint="eastAsia" w:ascii="宋体" w:hAnsi="宋体" w:eastAsia="宋体"/>
                <w:spacing w:val="-2"/>
              </w:rPr>
            </w:pPr>
            <w:r>
              <w:rPr>
                <w:rFonts w:hint="eastAsia" w:ascii="宋体" w:hAnsi="宋体" w:eastAsia="宋体"/>
                <w:spacing w:val="-2"/>
              </w:rPr>
              <w:t>（1）</w:t>
            </w:r>
            <w:r>
              <w:rPr>
                <w:rFonts w:hint="eastAsia" w:ascii="宋体" w:hAnsi="宋体" w:eastAsia="宋体"/>
                <w:spacing w:val="-2"/>
                <w:lang w:eastAsia="zh-CN"/>
              </w:rPr>
              <w:t>你了解我国当前的就</w:t>
            </w:r>
            <w:r>
              <w:rPr>
                <w:rFonts w:hint="eastAsia" w:ascii="宋体" w:hAnsi="宋体" w:eastAsia="宋体"/>
                <w:spacing w:val="-2"/>
                <w:lang w:val="en-US" w:eastAsia="zh-CN"/>
              </w:rPr>
              <w:t>创业金融</w:t>
            </w:r>
            <w:r>
              <w:rPr>
                <w:rFonts w:hint="eastAsia" w:ascii="宋体" w:hAnsi="宋体" w:eastAsia="宋体"/>
                <w:spacing w:val="-2"/>
                <w:lang w:eastAsia="zh-CN"/>
              </w:rPr>
              <w:t>吗</w:t>
            </w:r>
            <w:r>
              <w:rPr>
                <w:rFonts w:hint="eastAsia" w:ascii="宋体" w:hAnsi="宋体" w:eastAsia="宋体"/>
                <w:spacing w:val="-2"/>
              </w:rPr>
              <w:t>？</w:t>
            </w:r>
          </w:p>
          <w:p w14:paraId="441ED6BF">
            <w:pPr>
              <w:pStyle w:val="6"/>
              <w:shd w:val="clear" w:color="auto" w:fill="FFFFFF"/>
              <w:ind w:firstLine="352" w:firstLineChars="200"/>
              <w:rPr>
                <w:rFonts w:hint="eastAsia" w:ascii="宋体" w:hAnsi="宋体" w:eastAsia="宋体"/>
                <w:spacing w:val="-2"/>
              </w:rPr>
            </w:pPr>
            <w:r>
              <w:rPr>
                <w:rFonts w:hint="eastAsia" w:ascii="宋体" w:hAnsi="宋体" w:eastAsia="宋体"/>
                <w:spacing w:val="-2"/>
              </w:rPr>
              <w:t>（2）</w:t>
            </w:r>
            <w:r>
              <w:rPr>
                <w:rFonts w:hint="eastAsia" w:ascii="宋体" w:hAnsi="宋体" w:eastAsia="宋体"/>
                <w:spacing w:val="-2"/>
                <w:lang w:eastAsia="zh-CN"/>
              </w:rPr>
              <w:t>你知道企业融资是什么吗？</w:t>
            </w:r>
          </w:p>
          <w:p w14:paraId="67034269">
            <w:pPr>
              <w:pStyle w:val="6"/>
              <w:shd w:val="clear" w:color="auto" w:fill="FFFFFF"/>
              <w:rPr>
                <w:rFonts w:hint="eastAsia" w:ascii="宋体" w:hAnsi="宋体" w:eastAsia="宋体"/>
                <w:b/>
                <w:color w:val="84615D"/>
              </w:rPr>
            </w:pPr>
            <w:r>
              <w:rPr>
                <w:rFonts w:hint="eastAsia" w:ascii="宋体" w:hAnsi="宋体" w:eastAsia="宋体"/>
                <w:b/>
                <w:color w:val="84615D"/>
              </w:rPr>
              <w:t>【学生】提前上网搜索了解，查阅资料，了解问题，熟悉教材</w:t>
            </w:r>
          </w:p>
        </w:tc>
        <w:tc>
          <w:tcPr>
            <w:tcW w:w="1585" w:type="dxa"/>
            <w:shd w:val="clear" w:color="auto" w:fill="FFFFFF"/>
            <w:noWrap w:val="0"/>
            <w:vAlign w:val="center"/>
          </w:tcPr>
          <w:p w14:paraId="01D2997D">
            <w:pPr>
              <w:pStyle w:val="6"/>
              <w:ind w:firstLine="180" w:firstLineChars="100"/>
              <w:rPr>
                <w:rFonts w:ascii="宋体" w:hAnsi="宋体" w:eastAsia="宋体"/>
              </w:rPr>
            </w:pPr>
            <w:r>
              <w:rPr>
                <w:rFonts w:hint="eastAsia" w:ascii="宋体" w:hAnsi="宋体" w:eastAsia="宋体"/>
              </w:rPr>
              <w:t>通过课前的预热，让学生了解所学课程的大概内容，激发学生的学习欲望</w:t>
            </w:r>
          </w:p>
        </w:tc>
      </w:tr>
      <w:tr w14:paraId="47A3DBD6">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567" w:hRule="atLeast"/>
          <w:jc w:val="center"/>
        </w:trPr>
        <w:tc>
          <w:tcPr>
            <w:tcW w:w="1389" w:type="dxa"/>
            <w:shd w:val="clear" w:color="auto" w:fill="E6F1EB"/>
            <w:noWrap w:val="0"/>
            <w:vAlign w:val="center"/>
          </w:tcPr>
          <w:p w14:paraId="7AB92C44">
            <w:pPr>
              <w:pStyle w:val="6"/>
              <w:jc w:val="center"/>
              <w:rPr>
                <w:rFonts w:hint="eastAsia" w:ascii="宋体" w:hAnsi="宋体" w:eastAsia="宋体"/>
              </w:rPr>
            </w:pPr>
            <w:r>
              <w:rPr>
                <w:rFonts w:hint="eastAsia" w:ascii="宋体" w:hAnsi="宋体" w:eastAsia="宋体"/>
                <w:b/>
              </w:rPr>
              <w:t>考勤</w:t>
            </w:r>
            <w:r>
              <w:rPr>
                <w:rFonts w:ascii="宋体" w:hAnsi="宋体" w:eastAsia="宋体"/>
                <w:b/>
              </w:rPr>
              <w:br w:type="textWrapping"/>
            </w:r>
            <w:r>
              <w:rPr>
                <w:rFonts w:hint="eastAsia" w:ascii="宋体" w:hAnsi="宋体" w:eastAsia="宋体"/>
                <w:b/>
              </w:rPr>
              <w:t>（2 min）</w:t>
            </w:r>
          </w:p>
        </w:tc>
        <w:tc>
          <w:tcPr>
            <w:tcW w:w="5472" w:type="dxa"/>
            <w:shd w:val="clear" w:color="auto" w:fill="FFFFFF"/>
            <w:noWrap w:val="0"/>
            <w:vAlign w:val="center"/>
          </w:tcPr>
          <w:p w14:paraId="52B2A825">
            <w:pPr>
              <w:pStyle w:val="6"/>
              <w:numPr>
                <w:ilvl w:val="0"/>
                <w:numId w:val="1"/>
              </w:numPr>
              <w:spacing w:before="200"/>
              <w:rPr>
                <w:rFonts w:ascii="宋体" w:hAnsi="宋体" w:eastAsia="宋体"/>
                <w:b/>
                <w:color w:val="5D8979"/>
              </w:rPr>
            </w:pPr>
            <w:r>
              <w:rPr>
                <w:rFonts w:hint="eastAsia" w:ascii="宋体" w:hAnsi="宋体" w:eastAsia="宋体"/>
                <w:b/>
                <w:color w:val="5D8979"/>
              </w:rPr>
              <w:t>【教师】清点上课人数，记录好考勤</w:t>
            </w:r>
          </w:p>
          <w:p w14:paraId="573A5E99">
            <w:pPr>
              <w:pStyle w:val="6"/>
              <w:numPr>
                <w:ilvl w:val="0"/>
                <w:numId w:val="1"/>
              </w:numPr>
              <w:spacing w:before="200" w:after="200"/>
              <w:rPr>
                <w:rFonts w:hint="eastAsia" w:ascii="宋体" w:hAnsi="宋体" w:eastAsia="宋体"/>
                <w:b/>
                <w:color w:val="84615D"/>
              </w:rPr>
            </w:pPr>
            <w:r>
              <w:rPr>
                <w:rFonts w:hint="eastAsia" w:ascii="宋体" w:hAnsi="宋体" w:eastAsia="宋体"/>
                <w:b/>
                <w:color w:val="84615D"/>
              </w:rPr>
              <w:t>【学生】班干部报请假人员及原因</w:t>
            </w:r>
          </w:p>
        </w:tc>
        <w:tc>
          <w:tcPr>
            <w:tcW w:w="1585" w:type="dxa"/>
            <w:shd w:val="clear" w:color="auto" w:fill="FFFFFF"/>
            <w:noWrap w:val="0"/>
            <w:vAlign w:val="center"/>
          </w:tcPr>
          <w:p w14:paraId="786A3073">
            <w:pPr>
              <w:pStyle w:val="6"/>
              <w:ind w:firstLine="180" w:firstLineChars="100"/>
              <w:rPr>
                <w:rFonts w:hint="eastAsia" w:ascii="宋体" w:hAnsi="宋体" w:eastAsia="宋体"/>
              </w:rPr>
            </w:pPr>
            <w:r>
              <w:rPr>
                <w:rFonts w:hint="eastAsia" w:ascii="宋体" w:hAnsi="宋体" w:eastAsia="宋体"/>
              </w:rPr>
              <w:t>培养学生的组织纪律性</w:t>
            </w:r>
            <w:r>
              <w:rPr>
                <w:rFonts w:ascii="宋体" w:hAnsi="宋体" w:eastAsia="宋体"/>
              </w:rPr>
              <w:t>，</w:t>
            </w:r>
            <w:r>
              <w:rPr>
                <w:rFonts w:hint="eastAsia" w:ascii="宋体" w:hAnsi="宋体" w:eastAsia="宋体"/>
              </w:rPr>
              <w:t>掌握学生的出勤</w:t>
            </w:r>
            <w:r>
              <w:rPr>
                <w:rFonts w:ascii="宋体" w:hAnsi="宋体" w:eastAsia="宋体"/>
              </w:rPr>
              <w:t>情况</w:t>
            </w:r>
          </w:p>
        </w:tc>
      </w:tr>
      <w:tr w14:paraId="7790C2AA">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567" w:hRule="atLeast"/>
          <w:jc w:val="center"/>
        </w:trPr>
        <w:tc>
          <w:tcPr>
            <w:tcW w:w="1389" w:type="dxa"/>
            <w:shd w:val="clear" w:color="auto" w:fill="F5F5E1"/>
            <w:noWrap w:val="0"/>
            <w:vAlign w:val="center"/>
          </w:tcPr>
          <w:p w14:paraId="423288B4">
            <w:pPr>
              <w:pStyle w:val="6"/>
              <w:jc w:val="center"/>
              <w:rPr>
                <w:rFonts w:hint="eastAsia" w:ascii="宋体" w:hAnsi="宋体" w:eastAsia="宋体"/>
              </w:rPr>
            </w:pPr>
            <w:r>
              <w:rPr>
                <w:rFonts w:hint="eastAsia" w:ascii="宋体" w:hAnsi="宋体" w:eastAsia="宋体"/>
                <w:b/>
              </w:rPr>
              <w:t>引例导入</w:t>
            </w:r>
            <w:r>
              <w:rPr>
                <w:rFonts w:ascii="宋体" w:hAnsi="宋体" w:eastAsia="宋体"/>
                <w:b/>
              </w:rPr>
              <w:br w:type="textWrapping"/>
            </w:r>
            <w:r>
              <w:rPr>
                <w:rFonts w:hint="eastAsia" w:ascii="宋体" w:hAnsi="宋体" w:eastAsia="宋体"/>
                <w:b/>
              </w:rPr>
              <w:t>（</w:t>
            </w:r>
            <w:r>
              <w:rPr>
                <w:rFonts w:ascii="宋体" w:hAnsi="宋体" w:eastAsia="宋体"/>
                <w:b/>
              </w:rPr>
              <w:t xml:space="preserve">10 </w:t>
            </w:r>
            <w:r>
              <w:rPr>
                <w:rFonts w:hint="eastAsia" w:ascii="宋体" w:hAnsi="宋体" w:eastAsia="宋体"/>
                <w:b/>
              </w:rPr>
              <w:t>min）</w:t>
            </w:r>
          </w:p>
        </w:tc>
        <w:tc>
          <w:tcPr>
            <w:tcW w:w="5472" w:type="dxa"/>
            <w:shd w:val="clear" w:color="auto" w:fill="FFFFFF"/>
            <w:noWrap w:val="0"/>
            <w:vAlign w:val="center"/>
          </w:tcPr>
          <w:p w14:paraId="7F313445">
            <w:pPr>
              <w:pStyle w:val="6"/>
              <w:numPr>
                <w:ilvl w:val="0"/>
                <w:numId w:val="2"/>
              </w:numPr>
              <w:spacing w:before="160" w:after="120"/>
              <w:rPr>
                <w:rFonts w:ascii="宋体" w:hAnsi="宋体" w:eastAsia="宋体"/>
                <w:b/>
                <w:color w:val="5D8979"/>
              </w:rPr>
            </w:pPr>
            <w:r>
              <w:rPr>
                <w:rFonts w:hint="eastAsia" w:ascii="宋体" w:hAnsi="宋体" w:eastAsia="宋体"/>
                <w:b/>
                <w:color w:val="5D8979"/>
              </w:rPr>
              <w:t>【教师】讲解引例</w:t>
            </w:r>
          </w:p>
          <w:p w14:paraId="192DB171">
            <w:pPr>
              <w:keepNext w:val="0"/>
              <w:keepLines w:val="0"/>
              <w:pageBreakBefore w:val="0"/>
              <w:widowControl/>
              <w:kinsoku/>
              <w:wordWrap/>
              <w:overflowPunct/>
              <w:topLinePunct w:val="0"/>
              <w:autoSpaceDE/>
              <w:autoSpaceDN/>
              <w:bidi w:val="0"/>
              <w:adjustRightInd/>
              <w:snapToGrid/>
              <w:spacing w:line="240" w:lineRule="auto"/>
              <w:ind w:firstLine="0" w:firstLineChars="0"/>
              <w:jc w:val="both"/>
              <w:textAlignment w:val="auto"/>
              <w:rPr>
                <w:rFonts w:hint="eastAsia" w:ascii="宋体" w:hAnsi="宋体"/>
                <w:shd w:val="clear" w:color="auto" w:fill="auto"/>
              </w:rPr>
            </w:pPr>
            <w:r>
              <w:rPr>
                <w:rFonts w:hint="eastAsia" w:ascii="宋体" w:hAnsi="宋体" w:cs="宋体"/>
                <w:color w:val="E4007F"/>
              </w:rPr>
              <w:t>引例</w:t>
            </w:r>
            <w:r>
              <w:rPr>
                <w:rFonts w:hint="eastAsia" w:ascii="宋体" w:hAnsi="宋体"/>
              </w:rPr>
              <w:t xml:space="preserve"> 2020</w:t>
            </w:r>
            <w:r>
              <w:rPr>
                <w:rFonts w:hint="eastAsia" w:ascii="宋体" w:hAnsi="宋体"/>
                <w:shd w:val="clear" w:color="auto" w:fill="auto"/>
              </w:rPr>
              <w:t xml:space="preserve"> 年 8 月 20 日，在水滴保险商城 2020 全球合作伙伴大会上，水滴公司创始人兼 CEO 沈鹏对外宣布，公司已经完成了 2.3 亿美元的 D 轮系列融资，由瑞士再保险集团和腾讯公司联合领投，IDG 资本、点亮全球基金等老股东跟投。据了解，水滴公司是瑞士再保险集团在中国投资的第一家保险科技公司。</w:t>
            </w:r>
          </w:p>
          <w:p w14:paraId="0BB12090">
            <w:pPr>
              <w:keepNext w:val="0"/>
              <w:keepLines w:val="0"/>
              <w:pageBreakBefore w:val="0"/>
              <w:widowControl/>
              <w:kinsoku/>
              <w:wordWrap/>
              <w:overflowPunct/>
              <w:topLinePunct w:val="0"/>
              <w:autoSpaceDE/>
              <w:autoSpaceDN/>
              <w:bidi w:val="0"/>
              <w:adjustRightInd/>
              <w:snapToGrid/>
              <w:spacing w:line="240" w:lineRule="auto"/>
              <w:ind w:firstLine="400" w:firstLineChars="200"/>
              <w:jc w:val="both"/>
              <w:textAlignment w:val="auto"/>
              <w:rPr>
                <w:rFonts w:hint="eastAsia" w:ascii="宋体" w:hAnsi="宋体"/>
                <w:shd w:val="clear" w:color="auto" w:fill="auto"/>
              </w:rPr>
            </w:pPr>
            <w:r>
              <w:rPr>
                <w:rFonts w:hint="eastAsia" w:ascii="宋体" w:hAnsi="宋体"/>
                <w:shd w:val="clear" w:color="auto" w:fill="auto"/>
              </w:rPr>
              <w:t>水滴公司由前美团创始团队成员沈鹏在 2016 年创立，以“用互联网科技助推广大人民群众有保可医，保障亿万家庭”为使命。同时，水滴还在数月前启动了一项探索“险 + 药”模式的新项目，暂定名为“水滴好药付”，面向健康体和带病体人群提供药品福利服务，旨在利用商业保险整合支付方和药企，让老百姓支付更少的费用享受到更好的药品和诊疗。</w:t>
            </w:r>
          </w:p>
          <w:p w14:paraId="7860ABE3">
            <w:pPr>
              <w:keepNext w:val="0"/>
              <w:keepLines w:val="0"/>
              <w:pageBreakBefore w:val="0"/>
              <w:widowControl/>
              <w:kinsoku/>
              <w:wordWrap/>
              <w:overflowPunct/>
              <w:topLinePunct w:val="0"/>
              <w:autoSpaceDE/>
              <w:autoSpaceDN/>
              <w:bidi w:val="0"/>
              <w:adjustRightInd/>
              <w:snapToGrid/>
              <w:spacing w:line="240" w:lineRule="auto"/>
              <w:ind w:firstLine="400" w:firstLineChars="200"/>
              <w:jc w:val="both"/>
              <w:textAlignment w:val="auto"/>
              <w:rPr>
                <w:rFonts w:hint="eastAsia" w:ascii="宋体" w:hAnsi="宋体"/>
              </w:rPr>
            </w:pPr>
            <w:r>
              <w:rPr>
                <w:rFonts w:hint="eastAsia" w:ascii="宋体" w:hAnsi="宋体"/>
                <w:shd w:val="clear" w:color="auto" w:fill="auto"/>
              </w:rPr>
              <w:t>根据瑞士再保险瑞研究院的预测，到 2025 年，中国线上健康险市场将以每年平均 43% 的增速增长。水滴公司是中国领先的保险科技平台，在互联网健康险、医疗险销售中保持了领先地位。瑞士再保险集团是全球最大的人寿与健康险再保险公司，在中国曾投资新华保险、平安好医生、太平洋保险等公司。瑞士再保险集团表示，中国是</w:t>
            </w:r>
            <w:r>
              <w:rPr>
                <w:rFonts w:hint="eastAsia" w:ascii="宋体" w:hAnsi="宋体"/>
              </w:rPr>
              <w:t>瑞士再保险集团具有战略意义的重要市场。</w:t>
            </w:r>
          </w:p>
          <w:p w14:paraId="32C62D5A">
            <w:pPr>
              <w:keepNext w:val="0"/>
              <w:keepLines w:val="0"/>
              <w:pageBreakBefore w:val="0"/>
              <w:widowControl/>
              <w:kinsoku/>
              <w:wordWrap/>
              <w:overflowPunct/>
              <w:topLinePunct w:val="0"/>
              <w:autoSpaceDE/>
              <w:autoSpaceDN/>
              <w:bidi w:val="0"/>
              <w:adjustRightInd/>
              <w:snapToGrid/>
              <w:spacing w:line="240" w:lineRule="auto"/>
              <w:ind w:firstLine="400" w:firstLineChars="200"/>
              <w:jc w:val="both"/>
              <w:textAlignment w:val="auto"/>
              <w:rPr>
                <w:rFonts w:hint="eastAsia" w:ascii="宋体" w:hAnsi="宋体"/>
              </w:rPr>
            </w:pPr>
            <w:r>
              <w:rPr>
                <w:rFonts w:hint="eastAsia" w:ascii="宋体" w:hAnsi="宋体"/>
              </w:rPr>
              <w:t>新一轮融资将进一步投资于 AI、大数据等科技在业务中的应用，利用互联网和科技为用户提供更多更高效的保险保障服务，也将围绕用户需求加速探索可以和健康险相结合的医疗（在线问诊、重疾绿通、海外就医、意外救援、重疾护理）、健康（体检、基因检测、癌症筛查）服务，打造中国版的联合健康集团。</w:t>
            </w:r>
          </w:p>
          <w:p w14:paraId="6870D099">
            <w:pPr>
              <w:keepNext w:val="0"/>
              <w:keepLines w:val="0"/>
              <w:pageBreakBefore w:val="0"/>
              <w:widowControl/>
              <w:kinsoku/>
              <w:wordWrap/>
              <w:overflowPunct/>
              <w:topLinePunct w:val="0"/>
              <w:autoSpaceDE/>
              <w:autoSpaceDN/>
              <w:bidi w:val="0"/>
              <w:adjustRightInd/>
              <w:snapToGrid/>
              <w:spacing w:line="240" w:lineRule="auto"/>
              <w:ind w:firstLine="400" w:firstLineChars="200"/>
              <w:jc w:val="both"/>
              <w:textAlignment w:val="auto"/>
              <w:rPr>
                <w:rFonts w:hint="eastAsia" w:ascii="宋体" w:hAnsi="宋体"/>
              </w:rPr>
            </w:pPr>
            <w:r>
              <w:rPr>
                <w:rFonts w:hint="eastAsia" w:ascii="宋体" w:hAnsi="宋体"/>
              </w:rPr>
              <w:t>思考：在上述案例中，小丽为什么对自己的发展前景一片茫然？想一想选择合适的职业发展方向的重要性。</w:t>
            </w:r>
          </w:p>
          <w:p w14:paraId="64E97706">
            <w:pPr>
              <w:pStyle w:val="6"/>
              <w:numPr>
                <w:ilvl w:val="0"/>
                <w:numId w:val="2"/>
              </w:numPr>
              <w:spacing w:before="160" w:after="160"/>
              <w:rPr>
                <w:rFonts w:hint="eastAsia" w:ascii="宋体" w:hAnsi="宋体" w:eastAsia="宋体"/>
                <w:b/>
                <w:color w:val="84615D"/>
              </w:rPr>
            </w:pPr>
            <w:r>
              <w:rPr>
                <w:rFonts w:hint="eastAsia" w:ascii="宋体" w:hAnsi="宋体" w:eastAsia="宋体"/>
                <w:b/>
                <w:color w:val="84615D"/>
              </w:rPr>
              <w:t>【学生】聆听、思考、回答</w:t>
            </w:r>
          </w:p>
        </w:tc>
        <w:tc>
          <w:tcPr>
            <w:tcW w:w="1585" w:type="dxa"/>
            <w:shd w:val="clear" w:color="auto" w:fill="FFFFFF"/>
            <w:noWrap w:val="0"/>
            <w:vAlign w:val="center"/>
          </w:tcPr>
          <w:p w14:paraId="2030F250">
            <w:pPr>
              <w:pStyle w:val="6"/>
              <w:ind w:firstLine="180" w:firstLineChars="100"/>
              <w:rPr>
                <w:rFonts w:hint="eastAsia" w:ascii="宋体" w:hAnsi="宋体" w:eastAsia="宋体"/>
                <w:lang w:eastAsia="zh-CN"/>
              </w:rPr>
            </w:pPr>
            <w:r>
              <w:rPr>
                <w:rFonts w:hint="eastAsia" w:ascii="宋体" w:hAnsi="宋体" w:eastAsia="宋体"/>
              </w:rPr>
              <w:t>通过引例使学生了解</w:t>
            </w:r>
            <w:r>
              <w:rPr>
                <w:rFonts w:hint="eastAsia" w:ascii="宋体" w:hAnsi="宋体" w:eastAsia="宋体"/>
                <w:lang w:eastAsia="zh-CN"/>
              </w:rPr>
              <w:t>创业融资知识</w:t>
            </w:r>
            <w:r>
              <w:rPr>
                <w:rFonts w:hint="eastAsia" w:ascii="宋体" w:hAnsi="宋体" w:eastAsia="宋体"/>
              </w:rPr>
              <w:t>，使学生体会到</w:t>
            </w:r>
            <w:r>
              <w:rPr>
                <w:rFonts w:hint="eastAsia" w:ascii="宋体" w:hAnsi="宋体" w:eastAsia="宋体"/>
                <w:lang w:eastAsia="zh-CN"/>
              </w:rPr>
              <w:t>创业融资</w:t>
            </w:r>
            <w:r>
              <w:rPr>
                <w:rFonts w:hint="eastAsia" w:ascii="宋体" w:hAnsi="宋体" w:eastAsia="宋体"/>
              </w:rPr>
              <w:t>与我们的生活是息息相关的</w:t>
            </w:r>
          </w:p>
        </w:tc>
      </w:tr>
      <w:tr w14:paraId="3AA898D2">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567" w:hRule="atLeast"/>
          <w:jc w:val="center"/>
        </w:trPr>
        <w:tc>
          <w:tcPr>
            <w:tcW w:w="1389" w:type="dxa"/>
            <w:shd w:val="clear" w:color="auto" w:fill="E6F1EB"/>
            <w:noWrap w:val="0"/>
            <w:vAlign w:val="center"/>
          </w:tcPr>
          <w:p w14:paraId="1AF550BE">
            <w:pPr>
              <w:pStyle w:val="6"/>
              <w:jc w:val="center"/>
              <w:rPr>
                <w:rFonts w:hint="eastAsia" w:ascii="宋体" w:hAnsi="宋体" w:eastAsia="宋体"/>
                <w:b/>
              </w:rPr>
            </w:pPr>
          </w:p>
          <w:p w14:paraId="25373DC5">
            <w:pPr>
              <w:pStyle w:val="6"/>
              <w:jc w:val="center"/>
              <w:rPr>
                <w:rFonts w:hint="eastAsia" w:ascii="宋体" w:hAnsi="宋体" w:eastAsia="宋体"/>
                <w:b/>
              </w:rPr>
            </w:pPr>
          </w:p>
          <w:p w14:paraId="6744D798">
            <w:pPr>
              <w:pStyle w:val="6"/>
              <w:jc w:val="center"/>
              <w:rPr>
                <w:rFonts w:hint="eastAsia" w:ascii="宋体" w:hAnsi="宋体" w:eastAsia="宋体"/>
                <w:b/>
              </w:rPr>
            </w:pPr>
          </w:p>
          <w:p w14:paraId="7BB4ED0D">
            <w:pPr>
              <w:pStyle w:val="6"/>
              <w:jc w:val="center"/>
              <w:rPr>
                <w:rFonts w:hint="eastAsia" w:ascii="宋体" w:hAnsi="宋体" w:eastAsia="宋体"/>
                <w:b/>
              </w:rPr>
            </w:pPr>
          </w:p>
          <w:p w14:paraId="12619AAD">
            <w:pPr>
              <w:pStyle w:val="6"/>
              <w:jc w:val="center"/>
              <w:rPr>
                <w:rFonts w:hint="eastAsia" w:ascii="宋体" w:hAnsi="宋体" w:eastAsia="宋体"/>
                <w:b/>
              </w:rPr>
            </w:pPr>
          </w:p>
          <w:p w14:paraId="4FCB41DE">
            <w:pPr>
              <w:pStyle w:val="6"/>
              <w:jc w:val="center"/>
              <w:rPr>
                <w:rFonts w:hint="eastAsia" w:ascii="宋体" w:hAnsi="宋体" w:eastAsia="宋体"/>
                <w:b/>
              </w:rPr>
            </w:pPr>
          </w:p>
          <w:p w14:paraId="464E96F2">
            <w:pPr>
              <w:pStyle w:val="6"/>
              <w:jc w:val="center"/>
              <w:rPr>
                <w:rFonts w:hint="eastAsia" w:ascii="宋体" w:hAnsi="宋体" w:eastAsia="宋体"/>
                <w:b/>
              </w:rPr>
            </w:pPr>
          </w:p>
          <w:p w14:paraId="1293995C">
            <w:pPr>
              <w:pStyle w:val="6"/>
              <w:jc w:val="center"/>
              <w:rPr>
                <w:rFonts w:hint="eastAsia" w:ascii="宋体" w:hAnsi="宋体" w:eastAsia="宋体"/>
                <w:b/>
              </w:rPr>
            </w:pPr>
          </w:p>
          <w:p w14:paraId="7BF377D1">
            <w:pPr>
              <w:pStyle w:val="6"/>
              <w:jc w:val="center"/>
              <w:rPr>
                <w:rFonts w:hint="eastAsia" w:ascii="宋体" w:hAnsi="宋体" w:eastAsia="宋体"/>
                <w:b/>
              </w:rPr>
            </w:pPr>
          </w:p>
          <w:p w14:paraId="05AC736A">
            <w:pPr>
              <w:pStyle w:val="6"/>
              <w:jc w:val="center"/>
              <w:rPr>
                <w:rFonts w:hint="eastAsia" w:ascii="宋体" w:hAnsi="宋体" w:eastAsia="宋体"/>
                <w:b/>
              </w:rPr>
            </w:pPr>
          </w:p>
          <w:p w14:paraId="24C87437">
            <w:pPr>
              <w:pStyle w:val="6"/>
              <w:jc w:val="center"/>
              <w:rPr>
                <w:rFonts w:hint="eastAsia" w:ascii="宋体" w:hAnsi="宋体" w:eastAsia="宋体"/>
                <w:b/>
              </w:rPr>
            </w:pPr>
          </w:p>
          <w:p w14:paraId="788B5A54">
            <w:pPr>
              <w:pStyle w:val="6"/>
              <w:jc w:val="center"/>
              <w:rPr>
                <w:rFonts w:hint="eastAsia" w:ascii="宋体" w:hAnsi="宋体" w:eastAsia="宋体"/>
                <w:b/>
              </w:rPr>
            </w:pPr>
          </w:p>
          <w:p w14:paraId="6323510E">
            <w:pPr>
              <w:pStyle w:val="6"/>
              <w:jc w:val="center"/>
              <w:rPr>
                <w:rFonts w:hint="eastAsia" w:ascii="宋体" w:hAnsi="宋体" w:eastAsia="宋体"/>
                <w:b/>
              </w:rPr>
            </w:pPr>
          </w:p>
          <w:p w14:paraId="3F7BF4B9">
            <w:pPr>
              <w:pStyle w:val="6"/>
              <w:jc w:val="center"/>
              <w:rPr>
                <w:rFonts w:hint="eastAsia" w:ascii="宋体" w:hAnsi="宋体" w:eastAsia="宋体"/>
                <w:b/>
              </w:rPr>
            </w:pPr>
          </w:p>
          <w:p w14:paraId="2932E573">
            <w:pPr>
              <w:pStyle w:val="6"/>
              <w:jc w:val="center"/>
              <w:rPr>
                <w:rFonts w:hint="eastAsia" w:ascii="宋体" w:hAnsi="宋体" w:eastAsia="宋体"/>
                <w:b/>
              </w:rPr>
            </w:pPr>
          </w:p>
          <w:p w14:paraId="5D351C0D">
            <w:pPr>
              <w:pStyle w:val="6"/>
              <w:jc w:val="center"/>
              <w:rPr>
                <w:rFonts w:hint="eastAsia" w:ascii="宋体" w:hAnsi="宋体" w:eastAsia="宋体"/>
                <w:b/>
              </w:rPr>
            </w:pPr>
          </w:p>
          <w:p w14:paraId="19DC9F69">
            <w:pPr>
              <w:pStyle w:val="6"/>
              <w:jc w:val="center"/>
              <w:rPr>
                <w:rFonts w:hint="eastAsia" w:ascii="宋体" w:hAnsi="宋体" w:eastAsia="宋体"/>
                <w:b/>
              </w:rPr>
            </w:pPr>
          </w:p>
          <w:p w14:paraId="38154209">
            <w:pPr>
              <w:pStyle w:val="6"/>
              <w:jc w:val="center"/>
              <w:rPr>
                <w:rFonts w:hint="eastAsia" w:ascii="宋体" w:hAnsi="宋体" w:eastAsia="宋体"/>
                <w:b/>
              </w:rPr>
            </w:pPr>
          </w:p>
          <w:p w14:paraId="19ACFE92">
            <w:pPr>
              <w:pStyle w:val="6"/>
              <w:jc w:val="center"/>
              <w:rPr>
                <w:rFonts w:hint="eastAsia" w:ascii="宋体" w:hAnsi="宋体" w:eastAsia="宋体"/>
                <w:b/>
              </w:rPr>
            </w:pPr>
          </w:p>
          <w:p w14:paraId="1E858BC7">
            <w:pPr>
              <w:pStyle w:val="6"/>
              <w:jc w:val="center"/>
              <w:rPr>
                <w:rFonts w:hint="eastAsia" w:ascii="宋体" w:hAnsi="宋体" w:eastAsia="宋体"/>
                <w:b/>
              </w:rPr>
            </w:pPr>
          </w:p>
          <w:p w14:paraId="0A6D9984">
            <w:pPr>
              <w:pStyle w:val="6"/>
              <w:jc w:val="center"/>
              <w:rPr>
                <w:rFonts w:hint="eastAsia" w:ascii="宋体" w:hAnsi="宋体" w:eastAsia="宋体"/>
                <w:b/>
              </w:rPr>
            </w:pPr>
          </w:p>
          <w:p w14:paraId="6BDEA517">
            <w:pPr>
              <w:pStyle w:val="6"/>
              <w:jc w:val="center"/>
              <w:rPr>
                <w:rFonts w:hint="eastAsia" w:ascii="宋体" w:hAnsi="宋体" w:eastAsia="宋体"/>
                <w:b/>
              </w:rPr>
            </w:pPr>
          </w:p>
          <w:p w14:paraId="10A02B05">
            <w:pPr>
              <w:pStyle w:val="6"/>
              <w:jc w:val="center"/>
              <w:rPr>
                <w:rFonts w:hint="eastAsia" w:ascii="宋体" w:hAnsi="宋体" w:eastAsia="宋体"/>
                <w:b/>
              </w:rPr>
            </w:pPr>
          </w:p>
          <w:p w14:paraId="6A11AA98">
            <w:pPr>
              <w:pStyle w:val="6"/>
              <w:jc w:val="center"/>
              <w:rPr>
                <w:rFonts w:hint="eastAsia" w:ascii="宋体" w:hAnsi="宋体" w:eastAsia="宋体"/>
                <w:b/>
              </w:rPr>
            </w:pPr>
          </w:p>
          <w:p w14:paraId="4038CDF1">
            <w:pPr>
              <w:pStyle w:val="6"/>
              <w:jc w:val="center"/>
              <w:rPr>
                <w:rFonts w:hint="eastAsia" w:ascii="宋体" w:hAnsi="宋体" w:eastAsia="宋体"/>
                <w:b/>
              </w:rPr>
            </w:pPr>
          </w:p>
          <w:p w14:paraId="13D73441">
            <w:pPr>
              <w:pStyle w:val="6"/>
              <w:jc w:val="center"/>
              <w:rPr>
                <w:rFonts w:hint="eastAsia" w:ascii="宋体" w:hAnsi="宋体" w:eastAsia="宋体"/>
                <w:b/>
              </w:rPr>
            </w:pPr>
          </w:p>
          <w:p w14:paraId="08E5DF55">
            <w:pPr>
              <w:pStyle w:val="6"/>
              <w:jc w:val="center"/>
              <w:rPr>
                <w:rFonts w:hint="eastAsia" w:ascii="宋体" w:hAnsi="宋体" w:eastAsia="宋体"/>
                <w:b/>
              </w:rPr>
            </w:pPr>
          </w:p>
          <w:p w14:paraId="6D679D8C">
            <w:pPr>
              <w:pStyle w:val="6"/>
              <w:jc w:val="center"/>
              <w:rPr>
                <w:rFonts w:hint="eastAsia" w:ascii="宋体" w:hAnsi="宋体" w:eastAsia="宋体"/>
                <w:b/>
              </w:rPr>
            </w:pPr>
          </w:p>
          <w:p w14:paraId="3D6BCD34">
            <w:pPr>
              <w:pStyle w:val="6"/>
              <w:jc w:val="center"/>
              <w:rPr>
                <w:rFonts w:hint="eastAsia" w:ascii="宋体" w:hAnsi="宋体" w:eastAsia="宋体"/>
                <w:b/>
              </w:rPr>
            </w:pPr>
            <w:r>
              <w:rPr>
                <w:rFonts w:hint="eastAsia" w:ascii="宋体" w:hAnsi="宋体" w:eastAsia="宋体"/>
                <w:b/>
              </w:rPr>
              <w:t>知识讲解</w:t>
            </w:r>
            <w:r>
              <w:rPr>
                <w:rFonts w:ascii="宋体" w:hAnsi="宋体" w:eastAsia="宋体"/>
                <w:b/>
              </w:rPr>
              <w:br w:type="textWrapping"/>
            </w:r>
            <w:r>
              <w:rPr>
                <w:rFonts w:hint="eastAsia" w:ascii="宋体" w:hAnsi="宋体" w:eastAsia="宋体"/>
                <w:b/>
              </w:rPr>
              <w:t>（</w:t>
            </w:r>
            <w:r>
              <w:rPr>
                <w:rFonts w:ascii="宋体" w:hAnsi="宋体" w:eastAsia="宋体"/>
                <w:b/>
              </w:rPr>
              <w:t>23</w:t>
            </w:r>
            <w:r>
              <w:rPr>
                <w:rFonts w:hint="eastAsia" w:ascii="宋体" w:hAnsi="宋体" w:eastAsia="宋体"/>
                <w:b/>
              </w:rPr>
              <w:t xml:space="preserve"> min）</w:t>
            </w:r>
          </w:p>
        </w:tc>
        <w:tc>
          <w:tcPr>
            <w:tcW w:w="5472" w:type="dxa"/>
            <w:shd w:val="clear" w:color="auto" w:fill="FFFFFF"/>
            <w:noWrap w:val="0"/>
            <w:vAlign w:val="center"/>
          </w:tcPr>
          <w:p w14:paraId="4C588684">
            <w:pPr>
              <w:pStyle w:val="6"/>
              <w:spacing w:before="160" w:after="120"/>
              <w:rPr>
                <w:rFonts w:ascii="宋体" w:hAnsi="宋体" w:eastAsia="宋体"/>
                <w:b/>
                <w:color w:val="5D8979"/>
              </w:rPr>
            </w:pPr>
            <w:r>
              <w:rPr>
                <w:rFonts w:hint="eastAsia" w:ascii="宋体" w:hAnsi="宋体" w:eastAsia="宋体"/>
                <w:b/>
                <w:color w:val="5D8979"/>
              </w:rPr>
              <w:t>【教师】讲解创业企业融资渠道</w:t>
            </w:r>
          </w:p>
          <w:p w14:paraId="5E776D00">
            <w:pPr>
              <w:numPr>
                <w:ilvl w:val="0"/>
                <w:numId w:val="0"/>
              </w:numPr>
              <w:ind w:firstLine="600" w:firstLineChars="300"/>
              <w:rPr>
                <w:rFonts w:hint="eastAsia" w:ascii="宋体" w:hAnsi="宋体"/>
                <w:color w:val="E4007F"/>
              </w:rPr>
            </w:pPr>
            <w:r>
              <w:rPr>
                <w:rFonts w:hint="eastAsia" w:ascii="宋体" w:hAnsi="宋体"/>
                <w:color w:val="E4007F"/>
                <w:lang w:eastAsia="zh-CN"/>
              </w:rPr>
              <w:t>一、</w:t>
            </w:r>
            <w:r>
              <w:rPr>
                <w:rFonts w:hint="eastAsia" w:ascii="宋体" w:hAnsi="宋体"/>
                <w:color w:val="E4007F"/>
              </w:rPr>
              <w:t>企业融资渠道概念</w:t>
            </w:r>
          </w:p>
          <w:p w14:paraId="76D521A4">
            <w:pPr>
              <w:pStyle w:val="7"/>
              <w:spacing w:line="360" w:lineRule="exact"/>
              <w:ind w:firstLine="420"/>
              <w:rPr>
                <w:rFonts w:hint="eastAsia" w:ascii="宋体" w:hAnsi="宋体"/>
              </w:rPr>
            </w:pPr>
            <w:r>
              <w:rPr>
                <w:rFonts w:hint="eastAsia" w:ascii="宋体" w:hAnsi="宋体"/>
              </w:rPr>
              <w:t xml:space="preserve"> 融资渠道是指协助企业的资金来源，主要包括内源融资和外源融资两个渠道，其中内源融资也叫作内部协助企业融资，主要是指企业的自有资金和在生产经营过程中的资金积累部分；外源融资也称为外部协助企业融资，即企业的外部资金来源部分，主要包括直接融资和间接融资两类方式。直接融资与间接融资的区别主要在于是否存在融资中介。间接融资是指企业的融资是通过银行或非银行金融机构渠道获取，而直接融资即企业直接从市场或投资方获取资金。</w:t>
            </w:r>
          </w:p>
          <w:p w14:paraId="7405956B">
            <w:pPr>
              <w:pStyle w:val="7"/>
              <w:spacing w:line="360" w:lineRule="exact"/>
              <w:ind w:firstLine="420"/>
              <w:rPr>
                <w:rFonts w:hint="eastAsia" w:ascii="宋体" w:hAnsi="宋体"/>
              </w:rPr>
            </w:pPr>
            <w:r>
              <w:rPr>
                <w:rFonts w:hint="eastAsia" w:ascii="宋体" w:hAnsi="宋体"/>
              </w:rPr>
              <w:t>随着技术的进步和生产规模的扩大，单纯依靠内部协助企业融资已经很难满足企业的资金需求，外部协助企业融资已逐渐成为企业获取资金的重要方式。</w:t>
            </w:r>
          </w:p>
          <w:p w14:paraId="6613267A">
            <w:pPr>
              <w:pStyle w:val="7"/>
              <w:spacing w:line="360" w:lineRule="exact"/>
              <w:ind w:firstLine="420"/>
              <w:rPr>
                <w:rFonts w:hint="eastAsia" w:ascii="宋体" w:hAnsi="宋体"/>
              </w:rPr>
            </w:pPr>
          </w:p>
          <w:p w14:paraId="6A3BBB32">
            <w:pPr>
              <w:pStyle w:val="7"/>
              <w:numPr>
                <w:ilvl w:val="0"/>
                <w:numId w:val="3"/>
              </w:numPr>
              <w:spacing w:line="360" w:lineRule="exact"/>
              <w:ind w:firstLine="420" w:firstLineChars="200"/>
              <w:rPr>
                <w:rFonts w:hint="eastAsia" w:ascii="宋体" w:hAnsi="宋体" w:eastAsia="宋体" w:cs="Times New Roman"/>
                <w:color w:val="E4007F"/>
                <w:lang w:val="en-US" w:eastAsia="zh-CN"/>
              </w:rPr>
            </w:pPr>
            <w:r>
              <w:rPr>
                <w:rFonts w:hint="eastAsia" w:ascii="宋体" w:hAnsi="宋体" w:eastAsia="宋体" w:cs="Times New Roman"/>
                <w:color w:val="E4007F"/>
                <w:lang w:val="en-US" w:eastAsia="zh-CN"/>
              </w:rPr>
              <w:t>融资渠道</w:t>
            </w:r>
          </w:p>
          <w:p w14:paraId="24D67F4D">
            <w:pPr>
              <w:pStyle w:val="7"/>
              <w:spacing w:line="360" w:lineRule="exact"/>
              <w:ind w:firstLine="420"/>
              <w:rPr>
                <w:rFonts w:hint="default" w:ascii="宋体" w:hAnsi="宋体" w:eastAsia="宋体" w:cs="Times New Roman"/>
                <w:lang w:val="en-US" w:eastAsia="zh-CN"/>
              </w:rPr>
            </w:pPr>
            <w:r>
              <w:rPr>
                <w:rFonts w:hint="default" w:ascii="宋体" w:hAnsi="宋体" w:eastAsia="宋体" w:cs="Times New Roman"/>
                <w:b/>
                <w:bCs/>
                <w:lang w:val="en-US" w:eastAsia="zh-CN"/>
              </w:rPr>
              <w:t>（一）民间借贷</w:t>
            </w:r>
          </w:p>
          <w:p w14:paraId="0D680B69">
            <w:pPr>
              <w:pStyle w:val="7"/>
              <w:spacing w:line="360" w:lineRule="exact"/>
              <w:ind w:firstLine="420"/>
              <w:rPr>
                <w:rFonts w:hint="default" w:ascii="宋体" w:hAnsi="宋体" w:eastAsia="宋体" w:cs="Times New Roman"/>
                <w:lang w:val="en-US" w:eastAsia="zh-CN"/>
              </w:rPr>
            </w:pPr>
            <w:r>
              <w:rPr>
                <w:rFonts w:hint="default" w:ascii="宋体" w:hAnsi="宋体" w:eastAsia="宋体" w:cs="Times New Roman"/>
                <w:lang w:val="en-US" w:eastAsia="zh-CN"/>
              </w:rPr>
              <w:t>民间借贷是指公民之间、公民与法人之间、公民与其他组织之间借贷。只要双方当事人意见表示真实即可认定有效，因借贷产生的抵押相应有效，但利率不得超过人民银行规定的相关利率。</w:t>
            </w:r>
          </w:p>
          <w:p w14:paraId="0A71DB77">
            <w:pPr>
              <w:pStyle w:val="7"/>
              <w:spacing w:line="360" w:lineRule="exact"/>
              <w:ind w:firstLine="420"/>
              <w:rPr>
                <w:rFonts w:hint="default" w:ascii="宋体" w:hAnsi="宋体" w:eastAsia="宋体" w:cs="Times New Roman"/>
                <w:lang w:val="en-US" w:eastAsia="zh-CN"/>
              </w:rPr>
            </w:pPr>
            <w:r>
              <w:rPr>
                <w:rFonts w:hint="default" w:ascii="宋体" w:hAnsi="宋体" w:eastAsia="宋体" w:cs="Times New Roman"/>
                <w:lang w:val="en-US" w:eastAsia="zh-CN"/>
              </w:rPr>
              <w:t>民间借贷是一种直接融资渠道，银行借贷则是一种间接融资渠道。民间借贷是民间资本的一种投资渠道，是民间金融的一种形式。《中华人民共和国合同法》第二百一十一条规定：“自然人之间的借款合同约定支付利息的，借款的利率不得违反国家有关限制借款利率的规定。”最高人民法院《关于人民法院审理借贷案件的若干意见》的有关规定：“民间借贷的利率可以适当高于银行的利率，但最高不得超过银行同类贷款利率的四倍。”</w:t>
            </w:r>
          </w:p>
          <w:p w14:paraId="73BA2B33">
            <w:pPr>
              <w:pStyle w:val="7"/>
              <w:spacing w:line="360" w:lineRule="exact"/>
              <w:ind w:firstLine="420"/>
              <w:rPr>
                <w:rFonts w:hint="default" w:ascii="宋体" w:hAnsi="宋体" w:eastAsia="宋体" w:cs="Times New Roman"/>
                <w:lang w:val="en-US" w:eastAsia="zh-CN"/>
              </w:rPr>
            </w:pPr>
            <w:r>
              <w:rPr>
                <w:rFonts w:hint="default" w:ascii="宋体" w:hAnsi="宋体" w:eastAsia="宋体" w:cs="Times New Roman"/>
                <w:b/>
                <w:bCs/>
                <w:lang w:val="en-US" w:eastAsia="zh-CN"/>
              </w:rPr>
              <w:t>（二）吸收投资</w:t>
            </w:r>
          </w:p>
          <w:p w14:paraId="01F0C75C">
            <w:pPr>
              <w:pStyle w:val="7"/>
              <w:spacing w:line="360" w:lineRule="exact"/>
              <w:ind w:firstLine="420"/>
              <w:rPr>
                <w:rFonts w:hint="default" w:ascii="宋体" w:hAnsi="宋体" w:eastAsia="宋体" w:cs="Times New Roman"/>
                <w:lang w:val="en-US" w:eastAsia="zh-CN"/>
              </w:rPr>
            </w:pPr>
            <w:r>
              <w:rPr>
                <w:rFonts w:hint="default" w:ascii="宋体" w:hAnsi="宋体" w:eastAsia="宋体" w:cs="Times New Roman"/>
                <w:lang w:val="en-US" w:eastAsia="zh-CN"/>
              </w:rPr>
              <w:t>融资是指非股份制企业以协议等形式吸收国家、企业、个人和外商等直接投入的资本的一种筹资方式。投入资本不以股票为媒介，适用于非股份制企业，融资是非股份制企业筹集股权资本的一种基本方式。在合伙企业中，两个及以上的人员共同出资可以看作吸收投资而成立。中外合资企业、中外合作企业的成立，也可看作是吸收中方或外方的投资，获得相应的股权，或者协商的股权。对于有限责任公司，吸收投便成为吸收股东，但局限于50人以下。对于股份公司来说，发起设立人只能作为共同的投资方，一旦吸收投资，则吸收的投资人性质将改变，直接成为发起人。对于募集设立，发起人只认购发行股份的一部分，其余部分向社会公开募集或者向特定对象募集吸收投资，从而成立股份公司当然，以上的合伙企业、中外合资企业、中外合作企业、有限责任公司、股份有限公司及以上形式吸收的直接投资也可以是非股权参与，具体由协议来确定。</w:t>
            </w:r>
          </w:p>
          <w:p w14:paraId="3519D971">
            <w:pPr>
              <w:pStyle w:val="7"/>
              <w:spacing w:line="360" w:lineRule="exact"/>
              <w:ind w:firstLine="420"/>
              <w:rPr>
                <w:rFonts w:hint="default" w:ascii="宋体" w:hAnsi="宋体" w:eastAsia="宋体" w:cs="Times New Roman"/>
                <w:b/>
                <w:bCs/>
                <w:lang w:val="en-US" w:eastAsia="zh-CN"/>
              </w:rPr>
            </w:pPr>
            <w:r>
              <w:rPr>
                <w:rFonts w:hint="default" w:ascii="宋体" w:hAnsi="宋体" w:eastAsia="宋体" w:cs="Times New Roman"/>
                <w:b/>
                <w:bCs/>
                <w:lang w:val="en-US" w:eastAsia="zh-CN"/>
              </w:rPr>
              <w:t>（三）互联网金融</w:t>
            </w:r>
          </w:p>
          <w:p w14:paraId="2FE088AE">
            <w:pPr>
              <w:pStyle w:val="7"/>
              <w:spacing w:line="360" w:lineRule="exact"/>
              <w:ind w:firstLine="420"/>
              <w:rPr>
                <w:rFonts w:hint="default" w:ascii="宋体" w:hAnsi="宋体" w:eastAsia="宋体" w:cs="Times New Roman"/>
                <w:lang w:val="en-US" w:eastAsia="zh-CN"/>
              </w:rPr>
            </w:pPr>
            <w:r>
              <w:rPr>
                <w:rFonts w:hint="default" w:ascii="宋体" w:hAnsi="宋体" w:eastAsia="宋体" w:cs="Times New Roman"/>
                <w:lang w:val="en-US" w:eastAsia="zh-CN"/>
              </w:rPr>
              <w:t>互联网金融是指传统金融机构与互联网企业利用互联网技术和信息通信技术实现资金融通、支付、投资和信息中介服务的新型金融业务模式。互联网金融不是互联网和金融业的简单结合，而是在实现安全、移动等网络技术水平上，被用户熟悉接受后，尤其是指对电子商务的接受，自然而然为适应新的需求而产生的一种新模式及新业务，是传统金融行业与互联网技术相结合的新兴领域。</w:t>
            </w:r>
          </w:p>
          <w:p w14:paraId="62C703F7">
            <w:pPr>
              <w:pStyle w:val="7"/>
              <w:spacing w:line="360" w:lineRule="exact"/>
              <w:ind w:firstLine="420"/>
              <w:rPr>
                <w:rFonts w:hint="default" w:ascii="宋体" w:hAnsi="宋体" w:eastAsia="宋体" w:cs="Times New Roman"/>
                <w:lang w:val="en-US" w:eastAsia="zh-CN"/>
              </w:rPr>
            </w:pPr>
            <w:r>
              <w:rPr>
                <w:rFonts w:hint="default" w:ascii="宋体" w:hAnsi="宋体" w:eastAsia="宋体" w:cs="Times New Roman"/>
                <w:b/>
                <w:bCs/>
                <w:lang w:val="en-US" w:eastAsia="zh-CN"/>
              </w:rPr>
              <w:t xml:space="preserve">（四）发行股票 </w:t>
            </w:r>
          </w:p>
          <w:p w14:paraId="02888D9D">
            <w:pPr>
              <w:pStyle w:val="7"/>
              <w:keepNext w:val="0"/>
              <w:keepLines w:val="0"/>
              <w:pageBreakBefore w:val="0"/>
              <w:widowControl w:val="0"/>
              <w:kinsoku/>
              <w:wordWrap/>
              <w:overflowPunct/>
              <w:topLinePunct w:val="0"/>
              <w:autoSpaceDE/>
              <w:autoSpaceDN/>
              <w:bidi w:val="0"/>
              <w:adjustRightInd/>
              <w:snapToGrid/>
              <w:spacing w:line="360" w:lineRule="exact"/>
              <w:ind w:firstLine="0" w:firstLineChars="0"/>
              <w:jc w:val="left"/>
              <w:textAlignment w:val="auto"/>
              <w:rPr>
                <w:rFonts w:hint="eastAsia" w:ascii="宋体" w:hAnsi="宋体" w:eastAsia="宋体" w:cs="Times New Roman"/>
                <w:lang w:val="en-US" w:eastAsia="zh-CN"/>
              </w:rPr>
            </w:pPr>
            <w:r>
              <w:rPr>
                <w:rFonts w:hint="default" w:ascii="宋体" w:hAnsi="宋体" w:eastAsia="宋体" w:cs="Times New Roman"/>
                <w:lang w:val="en-US" w:eastAsia="zh-CN"/>
              </w:rPr>
              <w:t>股票是一种有价证券，是股份公司在筹集资本时向出资人发行的股份凭证，代表着其持有者对股份公司的所有权，购买股票也是购买企业生意的一部分，即可和企业共同成长发展。这种所有权为一种综合权利，如参加股东大会、投票表决、参与公司的重大决策、收取股息或分享红利差价等，但也要共同承担公司运作错误所带来的风险。</w:t>
            </w:r>
            <w:r>
              <w:rPr>
                <w:rFonts w:hint="eastAsia" w:ascii="宋体" w:hAnsi="宋体" w:eastAsia="宋体" w:cs="Times New Roman"/>
                <w:lang w:val="en-US" w:eastAsia="zh-CN"/>
              </w:rPr>
              <w:t xml:space="preserve">    </w:t>
            </w:r>
          </w:p>
          <w:p w14:paraId="3FD2A8CC">
            <w:pPr>
              <w:pStyle w:val="7"/>
              <w:keepNext w:val="0"/>
              <w:keepLines w:val="0"/>
              <w:pageBreakBefore w:val="0"/>
              <w:widowControl w:val="0"/>
              <w:kinsoku/>
              <w:wordWrap/>
              <w:overflowPunct/>
              <w:topLinePunct w:val="0"/>
              <w:autoSpaceDE/>
              <w:autoSpaceDN/>
              <w:bidi w:val="0"/>
              <w:adjustRightInd/>
              <w:snapToGrid/>
              <w:spacing w:line="360" w:lineRule="exact"/>
              <w:ind w:firstLine="422" w:firstLineChars="200"/>
              <w:jc w:val="left"/>
              <w:textAlignment w:val="auto"/>
              <w:rPr>
                <w:rFonts w:hint="default" w:ascii="宋体" w:hAnsi="宋体" w:eastAsia="宋体" w:cs="Times New Roman"/>
                <w:b/>
                <w:bCs/>
                <w:lang w:val="en-US" w:eastAsia="zh-CN"/>
              </w:rPr>
            </w:pPr>
            <w:r>
              <w:rPr>
                <w:rFonts w:hint="default" w:ascii="宋体" w:hAnsi="宋体" w:eastAsia="宋体" w:cs="Times New Roman"/>
                <w:b/>
                <w:bCs/>
                <w:lang w:val="en-US" w:eastAsia="zh-CN"/>
              </w:rPr>
              <w:t>（五）银行贷款</w:t>
            </w:r>
          </w:p>
          <w:p w14:paraId="6E51870F">
            <w:pPr>
              <w:pStyle w:val="7"/>
              <w:spacing w:line="360" w:lineRule="exact"/>
              <w:ind w:firstLine="420"/>
              <w:rPr>
                <w:rFonts w:hint="default" w:ascii="宋体" w:hAnsi="宋体" w:eastAsia="宋体" w:cs="Times New Roman"/>
                <w:lang w:val="en-US" w:eastAsia="zh-CN"/>
              </w:rPr>
            </w:pPr>
            <w:r>
              <w:rPr>
                <w:rFonts w:hint="default" w:ascii="宋体" w:hAnsi="宋体" w:eastAsia="宋体" w:cs="Times New Roman"/>
                <w:lang w:val="en-US" w:eastAsia="zh-CN"/>
              </w:rPr>
              <w:t xml:space="preserve">银行是企业最主要的融资渠道。按资金性质，分为流动资金贷款、固定资产贷款和专项贷款三类。银行对一些经营状况好、信用可靠的企业，授予一定时期内一定金额的信贷额度，企业在有效期与额度范围内可以循环使用。具体来说，现在银行开展过的为企业融资相关的贷款包括如下五种方式。 </w:t>
            </w:r>
          </w:p>
          <w:p w14:paraId="7E7CF8CC">
            <w:pPr>
              <w:pStyle w:val="7"/>
              <w:spacing w:line="360" w:lineRule="exact"/>
              <w:ind w:firstLine="420"/>
              <w:rPr>
                <w:rFonts w:hint="default" w:ascii="宋体" w:hAnsi="宋体" w:eastAsia="宋体" w:cs="Times New Roman"/>
                <w:lang w:val="en-US" w:eastAsia="zh-CN"/>
              </w:rPr>
            </w:pPr>
            <w:r>
              <w:rPr>
                <w:rFonts w:hint="default" w:ascii="宋体" w:hAnsi="宋体" w:eastAsia="宋体" w:cs="Times New Roman"/>
                <w:lang w:val="en-US" w:eastAsia="zh-CN"/>
              </w:rPr>
              <w:t xml:space="preserve">（1）资产抵押贷款，中小企业将资产抵押给证券公司或商业银行，由相应机构发行等价的资产证券化品种，发券募集的资金由中小企业使用，资产证券化品种可通过专门的市场进行交易。担保基金来源于当地政府财政拨款、会员自愿交纳的会员基金、社会募集的资金、商业银行的资金等。信用担保机构大多实行会员制管理的形式，属于公共服务性、行业自律性、自身非营利性组织。会员企业向银行借款时，可以由中小企业担保机构予以担保。中小企业还可以向专门开展中介服务的担保公司寻求担保服务。当企业提供不出银行所能接受的担保措施时，如抵押、质押或第三方信用保证人等，担保公司却可以解决这些难题。因为与银行相比而言，担保公司对抵押品的要求更为灵活。 </w:t>
            </w:r>
          </w:p>
          <w:p w14:paraId="37BE3B4C">
            <w:pPr>
              <w:pStyle w:val="7"/>
              <w:spacing w:line="360" w:lineRule="exact"/>
              <w:ind w:firstLine="420"/>
              <w:rPr>
                <w:rFonts w:hint="default" w:ascii="宋体" w:hAnsi="宋体" w:eastAsia="宋体" w:cs="Times New Roman"/>
                <w:lang w:val="en-US" w:eastAsia="zh-CN"/>
              </w:rPr>
            </w:pPr>
            <w:r>
              <w:rPr>
                <w:rFonts w:hint="default" w:ascii="宋体" w:hAnsi="宋体" w:eastAsia="宋体" w:cs="Times New Roman"/>
                <w:lang w:val="en-US" w:eastAsia="zh-CN"/>
              </w:rPr>
              <w:t>（2）项目开发贷款，一些高科技中小企业如果拥有重大价值的科技成果转化项目，初始投入资金数额比较大，企业自有资本难以承受，可以向银行申请项目开发贷款。商业银行对拥有成熟技术及良好市场前景的高新技术产品或专利项目的中小企业以及利用高新技术成果进行技术改造的中小企业，将会给予积极的信贷支持，以促进企业加快科技成果转化的速度。对与高等院校、科研机构建立稳定项目开发关系或拥有自己研究部门的高科技中小企业，银行除了提供流动资金贷款外，也可办理项目开发贷款。</w:t>
            </w:r>
          </w:p>
          <w:p w14:paraId="748813C0">
            <w:pPr>
              <w:pStyle w:val="7"/>
              <w:spacing w:line="360" w:lineRule="exact"/>
              <w:ind w:firstLine="420"/>
              <w:rPr>
                <w:rFonts w:hint="default" w:ascii="宋体" w:hAnsi="宋体" w:eastAsia="宋体" w:cs="Times New Roman"/>
                <w:lang w:val="en-US" w:eastAsia="zh-CN"/>
              </w:rPr>
            </w:pPr>
            <w:r>
              <w:rPr>
                <w:rFonts w:hint="default" w:ascii="宋体" w:hAnsi="宋体" w:eastAsia="宋体" w:cs="Times New Roman"/>
                <w:lang w:val="en-US" w:eastAsia="zh-CN"/>
              </w:rPr>
              <w:t>（3）出口创汇贷款，对于生产出口产品的企业，银行可根据出口合同，或进口方提供的信用签证，提供打包贷款。对有现汇账户的企业，可以提供外汇抵押贷款。对有外汇收入来源的企业，可以凭结汇凭证取得人民币贷款。对出口前景看好的企业，还可以商借一定数额的技术改造贷款。</w:t>
            </w:r>
          </w:p>
          <w:p w14:paraId="1F1B1F90">
            <w:pPr>
              <w:pStyle w:val="7"/>
              <w:spacing w:line="360" w:lineRule="exact"/>
              <w:ind w:firstLine="420"/>
              <w:rPr>
                <w:rFonts w:hint="default" w:ascii="宋体" w:hAnsi="宋体" w:eastAsia="宋体" w:cs="Times New Roman"/>
                <w:lang w:val="en-US" w:eastAsia="zh-CN"/>
              </w:rPr>
            </w:pPr>
            <w:r>
              <w:rPr>
                <w:rFonts w:hint="default" w:ascii="宋体" w:hAnsi="宋体" w:eastAsia="宋体" w:cs="Times New Roman"/>
                <w:lang w:val="en-US" w:eastAsia="zh-CN"/>
              </w:rPr>
              <w:t xml:space="preserve">（4）无形资产质押贷款，依据《中华人民共和国担保法》的有关规定，依法可以转让的商标专用权、专利权、著作权中的财产权等无形资产都可以作为贷款质押物。 </w:t>
            </w:r>
          </w:p>
          <w:p w14:paraId="60F65CDF">
            <w:pPr>
              <w:pStyle w:val="7"/>
              <w:spacing w:line="360" w:lineRule="exact"/>
              <w:ind w:firstLine="420"/>
              <w:rPr>
                <w:rFonts w:hint="default" w:ascii="宋体" w:hAnsi="宋体" w:eastAsia="宋体" w:cs="Times New Roman"/>
                <w:lang w:val="en-US" w:eastAsia="zh-CN"/>
              </w:rPr>
            </w:pPr>
            <w:r>
              <w:rPr>
                <w:rFonts w:hint="default" w:ascii="宋体" w:hAnsi="宋体" w:eastAsia="宋体" w:cs="Times New Roman"/>
                <w:lang w:val="en-US" w:eastAsia="zh-CN"/>
              </w:rPr>
              <w:t>（5）票据贴现融资，指票据持有人将商业票据转让给银行，取得扣除贴现利息后的资金。在我国，商业票据主要是指银行承兑汇票和商业承兑汇票。这种融资方式的好处之一是银行不按照企业的资产规模来放款，而是依据市场情况（销售合同）来贷款。企业收到票据至票据到期兑现之日，往往是少则几十天，多则 300 天，资金在这段时间处于闲置状态。企业如果能充分利用票据贴现融资，远比申请贷款手续简便，而且融资成本很低。票据贴现只需带上相应的票据到银行办理有关手续即可，一般在几个营业日内就能办妥。</w:t>
            </w:r>
          </w:p>
          <w:p w14:paraId="3F523BC3">
            <w:pPr>
              <w:pStyle w:val="7"/>
              <w:spacing w:line="360" w:lineRule="exact"/>
              <w:ind w:firstLine="420"/>
              <w:rPr>
                <w:rFonts w:hint="default" w:ascii="宋体" w:hAnsi="宋体" w:eastAsia="宋体" w:cs="Times New Roman"/>
                <w:b/>
                <w:bCs/>
                <w:lang w:val="en-US" w:eastAsia="zh-CN"/>
              </w:rPr>
            </w:pPr>
            <w:r>
              <w:rPr>
                <w:rFonts w:hint="default" w:ascii="宋体" w:hAnsi="宋体" w:eastAsia="宋体" w:cs="Times New Roman"/>
                <w:b/>
                <w:bCs/>
                <w:lang w:val="en-US" w:eastAsia="zh-CN"/>
              </w:rPr>
              <w:t xml:space="preserve">（六）发行债券 </w:t>
            </w:r>
          </w:p>
          <w:p w14:paraId="4C4A778D">
            <w:pPr>
              <w:pStyle w:val="7"/>
              <w:spacing w:line="360" w:lineRule="exact"/>
              <w:ind w:firstLine="420"/>
              <w:rPr>
                <w:rFonts w:hint="default" w:ascii="宋体" w:hAnsi="宋体" w:eastAsia="宋体" w:cs="Times New Roman"/>
                <w:lang w:val="en-US" w:eastAsia="zh-CN"/>
              </w:rPr>
            </w:pPr>
            <w:r>
              <w:rPr>
                <w:rFonts w:hint="default" w:ascii="宋体" w:hAnsi="宋体" w:eastAsia="宋体" w:cs="Times New Roman"/>
                <w:lang w:val="en-US" w:eastAsia="zh-CN"/>
              </w:rPr>
              <w:t>企业债券，也称公司债券，是企业依照法定程序发行、约定在一定期限内还本付息的有价证券，表示发债企业和投资人之间是一种债权债务关系。债券持有人不参与企业的经营管理，但有权按期收回约定的本息。在企业破产清算时，债权人优先于股东享有对企业剩余财产的索取权。企业债券与股票一样，同属有价证券，可以自由转让。企业债券用途多为新建项目，利息高于同期银行利率，期限为二至三年。市场上一般大型企业发债较多。中小型企业如果有盈利较高的项目、资金需求量较大，可以采用这种方式融资。关键要解决债券的包销、利息支付、如期偿还等具体问题。2008年金融危机，股市萎靡不振，债券市场异常火爆。</w:t>
            </w:r>
          </w:p>
          <w:p w14:paraId="34BF7F8C">
            <w:pPr>
              <w:pStyle w:val="7"/>
              <w:spacing w:line="360" w:lineRule="exact"/>
              <w:ind w:firstLine="420"/>
              <w:rPr>
                <w:rFonts w:hint="default" w:ascii="宋体" w:hAnsi="宋体" w:eastAsia="宋体" w:cs="Times New Roman"/>
                <w:lang w:val="en-US" w:eastAsia="zh-CN"/>
              </w:rPr>
            </w:pPr>
            <w:r>
              <w:rPr>
                <w:rFonts w:hint="default" w:ascii="宋体" w:hAnsi="宋体" w:eastAsia="宋体" w:cs="Times New Roman"/>
                <w:b/>
                <w:bCs/>
                <w:lang w:val="en-US" w:eastAsia="zh-CN"/>
              </w:rPr>
              <w:t>（七）融资租赁</w:t>
            </w:r>
          </w:p>
          <w:p w14:paraId="7F3B839B">
            <w:pPr>
              <w:pStyle w:val="7"/>
              <w:spacing w:line="360" w:lineRule="exact"/>
              <w:ind w:firstLine="420"/>
              <w:rPr>
                <w:rFonts w:hint="default" w:ascii="宋体" w:hAnsi="宋体" w:eastAsia="宋体" w:cs="Times New Roman"/>
                <w:lang w:val="en-US" w:eastAsia="zh-CN"/>
              </w:rPr>
            </w:pPr>
            <w:r>
              <w:rPr>
                <w:rFonts w:hint="default" w:ascii="宋体" w:hAnsi="宋体" w:eastAsia="宋体" w:cs="Times New Roman"/>
                <w:lang w:val="en-US" w:eastAsia="zh-CN"/>
              </w:rPr>
              <w:t>融资租赁，是通过融资与融物的结合，兼具金融与贸易的双重职能，对提高企业的筹资融资效益，推动与促进企业的技术进步，有着十分明显的作用。融资租赁有直接购买租赁、售出后回租以及杠杆租赁。此外，还有租赁与补偿贸易相结合、租赁与加工装配相结合、租赁与包销相结合等多种租赁形式。融资租赁业务为企业技术改造开辟了一条新的融资渠道，采取融资融物相结合的新形式，提高了生产设备和技术的引进速度，还可以节约资金使用，提高资金利用率。</w:t>
            </w:r>
          </w:p>
          <w:p w14:paraId="5756744A">
            <w:pPr>
              <w:pStyle w:val="7"/>
              <w:spacing w:line="360" w:lineRule="exact"/>
              <w:ind w:firstLine="420"/>
              <w:rPr>
                <w:rFonts w:hint="default" w:ascii="宋体" w:hAnsi="宋体" w:eastAsia="宋体" w:cs="Times New Roman"/>
                <w:b/>
                <w:bCs/>
                <w:lang w:val="en-US" w:eastAsia="zh-CN"/>
              </w:rPr>
            </w:pPr>
            <w:r>
              <w:rPr>
                <w:rFonts w:hint="default" w:ascii="宋体" w:hAnsi="宋体" w:eastAsia="宋体" w:cs="Times New Roman"/>
                <w:b/>
                <w:bCs/>
                <w:lang w:val="en-US" w:eastAsia="zh-CN"/>
              </w:rPr>
              <w:t>（八）金融租赁</w:t>
            </w:r>
          </w:p>
          <w:p w14:paraId="2107AFC1">
            <w:pPr>
              <w:pStyle w:val="7"/>
              <w:spacing w:line="360" w:lineRule="exact"/>
              <w:ind w:firstLine="420"/>
              <w:rPr>
                <w:rFonts w:hint="default" w:ascii="宋体" w:hAnsi="宋体" w:eastAsia="宋体" w:cs="Times New Roman"/>
                <w:lang w:val="en-US" w:eastAsia="zh-CN"/>
              </w:rPr>
            </w:pPr>
            <w:r>
              <w:rPr>
                <w:rFonts w:hint="default" w:ascii="宋体" w:hAnsi="宋体" w:eastAsia="宋体" w:cs="Times New Roman"/>
                <w:lang w:val="en-US" w:eastAsia="zh-CN"/>
              </w:rPr>
              <w:t>金融租赁是一种集信贷、贸易、租赁于一体，以租赁物件的所有权与使用权相分离为特征的新型融资方式。设备使用厂家看中某种设备后，即可委托金融租赁公司出资购得，然后再以租赁的形式将设备交付企业使用。当企业在合同期内把租金还清后，最终还将拥有该设备的所有权。对于资金缺乏的企业来说，金融租赁不失为加速投资、扩大生产的好办法；就某些产品积压的企业来说，金融租赁不失为促进销售、拓展市场的好手段。通过金融租赁，企业可用少量资金取得所需的先进技术设备，可以边生产边还租金。</w:t>
            </w:r>
          </w:p>
          <w:p w14:paraId="5410BC4F">
            <w:pPr>
              <w:pStyle w:val="7"/>
              <w:spacing w:line="360" w:lineRule="exact"/>
              <w:ind w:firstLine="420"/>
              <w:rPr>
                <w:rFonts w:hint="default" w:ascii="宋体" w:hAnsi="宋体" w:eastAsia="宋体" w:cs="Times New Roman"/>
                <w:lang w:val="en-US" w:eastAsia="zh-CN"/>
              </w:rPr>
            </w:pPr>
            <w:r>
              <w:rPr>
                <w:rFonts w:hint="default" w:ascii="宋体" w:hAnsi="宋体" w:eastAsia="宋体" w:cs="Times New Roman"/>
                <w:b/>
                <w:bCs/>
                <w:lang w:val="en-US" w:eastAsia="zh-CN"/>
              </w:rPr>
              <w:t>（九）典当融资</w:t>
            </w:r>
          </w:p>
          <w:p w14:paraId="61409A28">
            <w:pPr>
              <w:pStyle w:val="7"/>
              <w:spacing w:line="360" w:lineRule="exact"/>
              <w:ind w:firstLine="420"/>
              <w:rPr>
                <w:rFonts w:hint="default" w:ascii="宋体" w:hAnsi="宋体" w:eastAsia="宋体" w:cs="Times New Roman"/>
                <w:lang w:val="en-US" w:eastAsia="zh-CN"/>
              </w:rPr>
            </w:pPr>
            <w:r>
              <w:rPr>
                <w:rFonts w:hint="default" w:ascii="宋体" w:hAnsi="宋体" w:eastAsia="宋体" w:cs="Times New Roman"/>
                <w:lang w:val="en-US" w:eastAsia="zh-CN"/>
              </w:rPr>
              <w:t>典当是指当户将其动产、财产权利作为当物质押或者将其房地产作为当物抵押给典当行，交付一定比例费用，取得当金并在约定期限内支付当金利息、偿还当金、赎回典当物的行为。典当融资，指中小企业在短期资金需求中利用典当行救急的特点，以质押或抵押的方式，从典当行获得资金的一种快速、便捷的融资方式。中小企业融资贷款额度比较小、周期短、频率高、需求急的特点与典当行小额性、短期性、安全性、便捷性等本质特点相吻合。</w:t>
            </w:r>
          </w:p>
          <w:p w14:paraId="6F2C3B3F">
            <w:pPr>
              <w:pStyle w:val="6"/>
              <w:spacing w:before="160" w:after="120"/>
              <w:rPr>
                <w:rFonts w:hint="eastAsia" w:ascii="宋体" w:hAnsi="宋体" w:eastAsia="宋体"/>
                <w:color w:val="84615D"/>
              </w:rPr>
            </w:pPr>
            <w:r>
              <w:rPr>
                <w:rFonts w:hint="eastAsia" w:ascii="宋体" w:hAnsi="宋体" w:eastAsia="宋体"/>
                <w:b/>
                <w:color w:val="84615D"/>
              </w:rPr>
              <w:t>【学生】掌握融资渠道</w:t>
            </w:r>
          </w:p>
        </w:tc>
        <w:tc>
          <w:tcPr>
            <w:tcW w:w="1585" w:type="dxa"/>
            <w:shd w:val="clear" w:color="auto" w:fill="FFFFFF"/>
            <w:noWrap w:val="0"/>
            <w:vAlign w:val="center"/>
          </w:tcPr>
          <w:p w14:paraId="4D00C23B">
            <w:pPr>
              <w:pStyle w:val="6"/>
              <w:ind w:firstLine="180" w:firstLineChars="100"/>
              <w:rPr>
                <w:rFonts w:hint="eastAsia" w:ascii="宋体" w:hAnsi="宋体" w:eastAsia="宋体"/>
              </w:rPr>
            </w:pPr>
          </w:p>
          <w:p w14:paraId="069FA8E3">
            <w:pPr>
              <w:pStyle w:val="6"/>
              <w:ind w:firstLine="180" w:firstLineChars="100"/>
              <w:rPr>
                <w:rFonts w:hint="eastAsia" w:ascii="宋体" w:hAnsi="宋体" w:eastAsia="宋体"/>
              </w:rPr>
            </w:pPr>
          </w:p>
          <w:p w14:paraId="167C3F91">
            <w:pPr>
              <w:pStyle w:val="6"/>
              <w:ind w:firstLine="180" w:firstLineChars="100"/>
              <w:rPr>
                <w:rFonts w:hint="eastAsia" w:ascii="宋体" w:hAnsi="宋体" w:eastAsia="宋体"/>
              </w:rPr>
            </w:pPr>
          </w:p>
          <w:p w14:paraId="67086A90">
            <w:pPr>
              <w:pStyle w:val="6"/>
              <w:ind w:firstLine="180" w:firstLineChars="100"/>
              <w:rPr>
                <w:rFonts w:hint="eastAsia" w:ascii="宋体" w:hAnsi="宋体" w:eastAsia="宋体"/>
              </w:rPr>
            </w:pPr>
          </w:p>
          <w:p w14:paraId="0B9CD7C2">
            <w:pPr>
              <w:pStyle w:val="6"/>
              <w:ind w:firstLine="180" w:firstLineChars="100"/>
              <w:rPr>
                <w:rFonts w:hint="eastAsia" w:ascii="宋体" w:hAnsi="宋体" w:eastAsia="宋体"/>
              </w:rPr>
            </w:pPr>
          </w:p>
          <w:p w14:paraId="32745A7D">
            <w:pPr>
              <w:pStyle w:val="6"/>
              <w:ind w:firstLine="180" w:firstLineChars="100"/>
              <w:rPr>
                <w:rFonts w:hint="eastAsia" w:ascii="宋体" w:hAnsi="宋体" w:eastAsia="宋体"/>
              </w:rPr>
            </w:pPr>
          </w:p>
          <w:p w14:paraId="4DCD0FA7">
            <w:pPr>
              <w:pStyle w:val="6"/>
              <w:ind w:firstLine="180" w:firstLineChars="100"/>
              <w:rPr>
                <w:rFonts w:hint="eastAsia" w:ascii="宋体" w:hAnsi="宋体" w:eastAsia="宋体"/>
              </w:rPr>
            </w:pPr>
          </w:p>
          <w:p w14:paraId="205F8ABC">
            <w:pPr>
              <w:pStyle w:val="6"/>
              <w:ind w:firstLine="180" w:firstLineChars="100"/>
              <w:rPr>
                <w:rFonts w:hint="eastAsia" w:ascii="宋体" w:hAnsi="宋体" w:eastAsia="宋体"/>
              </w:rPr>
            </w:pPr>
          </w:p>
          <w:p w14:paraId="00340DE2">
            <w:pPr>
              <w:pStyle w:val="6"/>
              <w:ind w:firstLine="180" w:firstLineChars="100"/>
              <w:rPr>
                <w:rFonts w:hint="eastAsia" w:ascii="宋体" w:hAnsi="宋体" w:eastAsia="宋体"/>
              </w:rPr>
            </w:pPr>
          </w:p>
          <w:p w14:paraId="3705668B">
            <w:pPr>
              <w:pStyle w:val="6"/>
              <w:ind w:firstLine="180" w:firstLineChars="100"/>
              <w:rPr>
                <w:rFonts w:hint="eastAsia" w:ascii="宋体" w:hAnsi="宋体" w:eastAsia="宋体"/>
              </w:rPr>
            </w:pPr>
          </w:p>
          <w:p w14:paraId="55A014E1">
            <w:pPr>
              <w:pStyle w:val="6"/>
              <w:ind w:firstLine="180" w:firstLineChars="100"/>
              <w:rPr>
                <w:rFonts w:hint="eastAsia" w:ascii="宋体" w:hAnsi="宋体" w:eastAsia="宋体"/>
              </w:rPr>
            </w:pPr>
          </w:p>
          <w:p w14:paraId="0B219F1B">
            <w:pPr>
              <w:pStyle w:val="6"/>
              <w:ind w:firstLine="180" w:firstLineChars="100"/>
              <w:rPr>
                <w:rFonts w:hint="eastAsia" w:ascii="宋体" w:hAnsi="宋体" w:eastAsia="宋体"/>
              </w:rPr>
            </w:pPr>
          </w:p>
          <w:p w14:paraId="00BBB7B1">
            <w:pPr>
              <w:pStyle w:val="6"/>
              <w:ind w:firstLine="180" w:firstLineChars="100"/>
              <w:rPr>
                <w:rFonts w:hint="eastAsia" w:ascii="宋体" w:hAnsi="宋体" w:eastAsia="宋体"/>
              </w:rPr>
            </w:pPr>
          </w:p>
          <w:p w14:paraId="4A7292C2">
            <w:pPr>
              <w:pStyle w:val="6"/>
              <w:ind w:firstLine="180" w:firstLineChars="100"/>
              <w:rPr>
                <w:rFonts w:hint="eastAsia" w:ascii="宋体" w:hAnsi="宋体" w:eastAsia="宋体"/>
              </w:rPr>
            </w:pPr>
          </w:p>
          <w:p w14:paraId="784D8A7D">
            <w:pPr>
              <w:pStyle w:val="6"/>
              <w:ind w:firstLine="180" w:firstLineChars="100"/>
              <w:rPr>
                <w:rFonts w:hint="eastAsia" w:ascii="宋体" w:hAnsi="宋体" w:eastAsia="宋体"/>
              </w:rPr>
            </w:pPr>
          </w:p>
          <w:p w14:paraId="6AA25C29">
            <w:pPr>
              <w:pStyle w:val="6"/>
              <w:ind w:firstLine="180" w:firstLineChars="100"/>
              <w:rPr>
                <w:rFonts w:hint="eastAsia" w:ascii="宋体" w:hAnsi="宋体" w:eastAsia="宋体"/>
              </w:rPr>
            </w:pPr>
          </w:p>
          <w:p w14:paraId="3D2C1F9B">
            <w:pPr>
              <w:pStyle w:val="6"/>
              <w:ind w:firstLine="180" w:firstLineChars="100"/>
              <w:rPr>
                <w:rFonts w:hint="eastAsia" w:ascii="宋体" w:hAnsi="宋体" w:eastAsia="宋体"/>
              </w:rPr>
            </w:pPr>
          </w:p>
          <w:p w14:paraId="0630797B">
            <w:pPr>
              <w:pStyle w:val="6"/>
              <w:ind w:firstLine="180" w:firstLineChars="100"/>
              <w:rPr>
                <w:rFonts w:hint="eastAsia" w:ascii="宋体" w:hAnsi="宋体" w:eastAsia="宋体"/>
              </w:rPr>
            </w:pPr>
          </w:p>
          <w:p w14:paraId="759C459D">
            <w:pPr>
              <w:pStyle w:val="6"/>
              <w:ind w:firstLine="180" w:firstLineChars="100"/>
              <w:rPr>
                <w:rFonts w:hint="eastAsia" w:ascii="宋体" w:hAnsi="宋体" w:eastAsia="宋体"/>
              </w:rPr>
            </w:pPr>
          </w:p>
          <w:p w14:paraId="758F3C18">
            <w:pPr>
              <w:pStyle w:val="6"/>
              <w:ind w:firstLine="180" w:firstLineChars="100"/>
              <w:rPr>
                <w:rFonts w:hint="eastAsia" w:ascii="宋体" w:hAnsi="宋体" w:eastAsia="宋体"/>
              </w:rPr>
            </w:pPr>
          </w:p>
          <w:p w14:paraId="0C19A3B9">
            <w:pPr>
              <w:pStyle w:val="6"/>
              <w:ind w:firstLine="180" w:firstLineChars="100"/>
              <w:rPr>
                <w:rFonts w:hint="eastAsia" w:ascii="宋体" w:hAnsi="宋体" w:eastAsia="宋体"/>
              </w:rPr>
            </w:pPr>
          </w:p>
          <w:p w14:paraId="1DF1B9E4">
            <w:pPr>
              <w:pStyle w:val="6"/>
              <w:ind w:firstLine="180" w:firstLineChars="100"/>
              <w:rPr>
                <w:rFonts w:hint="eastAsia" w:ascii="宋体" w:hAnsi="宋体" w:eastAsia="宋体"/>
              </w:rPr>
            </w:pPr>
          </w:p>
          <w:p w14:paraId="5ADE663C">
            <w:pPr>
              <w:pStyle w:val="6"/>
              <w:ind w:firstLine="180" w:firstLineChars="100"/>
              <w:rPr>
                <w:rFonts w:hint="eastAsia" w:ascii="宋体" w:hAnsi="宋体" w:eastAsia="宋体"/>
              </w:rPr>
            </w:pPr>
          </w:p>
          <w:p w14:paraId="11696C45">
            <w:pPr>
              <w:pStyle w:val="6"/>
              <w:ind w:firstLine="180" w:firstLineChars="100"/>
              <w:rPr>
                <w:rFonts w:hint="eastAsia" w:ascii="宋体" w:hAnsi="宋体" w:eastAsia="宋体"/>
              </w:rPr>
            </w:pPr>
          </w:p>
          <w:p w14:paraId="1ACF6286">
            <w:pPr>
              <w:pStyle w:val="6"/>
              <w:ind w:firstLine="180" w:firstLineChars="100"/>
              <w:rPr>
                <w:rFonts w:hint="eastAsia" w:ascii="宋体" w:hAnsi="宋体" w:eastAsia="宋体"/>
              </w:rPr>
            </w:pPr>
          </w:p>
          <w:p w14:paraId="061E5F93">
            <w:pPr>
              <w:pStyle w:val="6"/>
              <w:ind w:firstLine="180" w:firstLineChars="100"/>
              <w:rPr>
                <w:rFonts w:hint="eastAsia" w:ascii="宋体" w:hAnsi="宋体" w:eastAsia="宋体"/>
              </w:rPr>
            </w:pPr>
          </w:p>
          <w:p w14:paraId="3391B07A">
            <w:pPr>
              <w:pStyle w:val="6"/>
              <w:ind w:firstLine="180" w:firstLineChars="100"/>
              <w:rPr>
                <w:rFonts w:hint="eastAsia" w:ascii="宋体" w:hAnsi="宋体" w:eastAsia="宋体"/>
              </w:rPr>
            </w:pPr>
          </w:p>
          <w:p w14:paraId="0E791C7E">
            <w:pPr>
              <w:pStyle w:val="6"/>
              <w:ind w:firstLine="180" w:firstLineChars="100"/>
              <w:rPr>
                <w:rFonts w:hint="eastAsia" w:ascii="宋体" w:hAnsi="宋体" w:eastAsia="宋体"/>
              </w:rPr>
            </w:pPr>
          </w:p>
          <w:p w14:paraId="4AA2AFE3">
            <w:pPr>
              <w:pStyle w:val="6"/>
              <w:ind w:firstLine="180" w:firstLineChars="100"/>
              <w:rPr>
                <w:rFonts w:hint="eastAsia" w:ascii="宋体" w:hAnsi="宋体" w:eastAsia="宋体"/>
              </w:rPr>
            </w:pPr>
            <w:r>
              <w:rPr>
                <w:rFonts w:hint="eastAsia" w:ascii="宋体" w:hAnsi="宋体" w:eastAsia="宋体"/>
              </w:rPr>
              <w:t>学习“融资渠道”课程性质和内容。边做边讲，及时巩固练习，实现教学做一体化</w:t>
            </w:r>
          </w:p>
        </w:tc>
      </w:tr>
      <w:tr w14:paraId="2332CC03">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567" w:hRule="atLeast"/>
          <w:jc w:val="center"/>
        </w:trPr>
        <w:tc>
          <w:tcPr>
            <w:tcW w:w="1389" w:type="dxa"/>
            <w:shd w:val="clear" w:color="auto" w:fill="F5F5E1"/>
            <w:noWrap w:val="0"/>
            <w:vAlign w:val="center"/>
          </w:tcPr>
          <w:p w14:paraId="39FACBEF">
            <w:pPr>
              <w:pStyle w:val="6"/>
              <w:jc w:val="center"/>
              <w:rPr>
                <w:rFonts w:hint="eastAsia" w:ascii="宋体" w:hAnsi="宋体" w:eastAsia="宋体"/>
                <w:b/>
              </w:rPr>
            </w:pPr>
            <w:r>
              <w:rPr>
                <w:rFonts w:hint="eastAsia" w:ascii="宋体" w:hAnsi="宋体" w:eastAsia="宋体"/>
                <w:b/>
              </w:rPr>
              <w:t>课堂测验</w:t>
            </w:r>
            <w:r>
              <w:rPr>
                <w:rFonts w:ascii="宋体" w:hAnsi="宋体" w:eastAsia="宋体"/>
                <w:b/>
              </w:rPr>
              <w:br w:type="textWrapping"/>
            </w:r>
            <w:r>
              <w:rPr>
                <w:rFonts w:hint="eastAsia" w:ascii="宋体" w:hAnsi="宋体" w:eastAsia="宋体"/>
                <w:b/>
              </w:rPr>
              <w:t>（</w:t>
            </w:r>
            <w:r>
              <w:rPr>
                <w:rFonts w:hint="eastAsia" w:ascii="宋体" w:hAnsi="宋体" w:eastAsia="宋体"/>
                <w:b/>
                <w:lang w:val="en-US" w:eastAsia="zh-CN"/>
              </w:rPr>
              <w:t xml:space="preserve">10 </w:t>
            </w:r>
            <w:r>
              <w:rPr>
                <w:rFonts w:hint="eastAsia" w:ascii="宋体" w:hAnsi="宋体" w:eastAsia="宋体"/>
                <w:b/>
              </w:rPr>
              <w:t>min）</w:t>
            </w:r>
          </w:p>
        </w:tc>
        <w:tc>
          <w:tcPr>
            <w:tcW w:w="5472" w:type="dxa"/>
            <w:shd w:val="clear" w:color="auto" w:fill="FFFFFF"/>
            <w:noWrap w:val="0"/>
            <w:vAlign w:val="center"/>
          </w:tcPr>
          <w:p w14:paraId="03519784">
            <w:pPr>
              <w:pStyle w:val="6"/>
              <w:keepNext w:val="0"/>
              <w:keepLines w:val="0"/>
              <w:pageBreakBefore w:val="0"/>
              <w:widowControl/>
              <w:kinsoku/>
              <w:wordWrap/>
              <w:overflowPunct/>
              <w:topLinePunct w:val="0"/>
              <w:autoSpaceDE/>
              <w:autoSpaceDN/>
              <w:bidi w:val="0"/>
              <w:adjustRightInd/>
              <w:snapToGrid/>
              <w:spacing w:before="160" w:after="120" w:line="240" w:lineRule="auto"/>
              <w:textAlignment w:val="auto"/>
              <w:rPr>
                <w:rFonts w:hint="eastAsia" w:ascii="宋体" w:hAnsi="宋体" w:eastAsia="宋体"/>
                <w:b/>
                <w:color w:val="5D8979"/>
              </w:rPr>
            </w:pPr>
            <w:r>
              <w:rPr>
                <w:rFonts w:hint="eastAsia" w:ascii="宋体" w:hAnsi="宋体" w:eastAsia="宋体"/>
                <w:b/>
                <w:color w:val="5D8979"/>
              </w:rPr>
              <w:t>【教师】企业融资的意义</w:t>
            </w:r>
          </w:p>
          <w:p w14:paraId="66FBE858">
            <w:pPr>
              <w:pStyle w:val="6"/>
              <w:keepNext w:val="0"/>
              <w:keepLines w:val="0"/>
              <w:pageBreakBefore w:val="0"/>
              <w:widowControl/>
              <w:kinsoku/>
              <w:wordWrap/>
              <w:overflowPunct/>
              <w:topLinePunct w:val="0"/>
              <w:autoSpaceDE/>
              <w:autoSpaceDN/>
              <w:bidi w:val="0"/>
              <w:adjustRightInd/>
              <w:snapToGrid/>
              <w:spacing w:before="160" w:after="120" w:line="240" w:lineRule="auto"/>
              <w:textAlignment w:val="auto"/>
              <w:rPr>
                <w:rFonts w:hint="eastAsia" w:ascii="宋体" w:hAnsi="宋体" w:eastAsia="宋体"/>
                <w:b/>
                <w:color w:val="84615D"/>
              </w:rPr>
            </w:pPr>
            <w:r>
              <w:rPr>
                <w:rFonts w:hint="eastAsia" w:ascii="宋体" w:hAnsi="宋体" w:eastAsia="宋体"/>
                <w:b/>
                <w:color w:val="84615D"/>
              </w:rPr>
              <w:t>【学生】</w:t>
            </w:r>
            <w:r>
              <w:rPr>
                <w:rFonts w:hint="eastAsia" w:ascii="宋体" w:hAnsi="宋体" w:eastAsia="宋体"/>
                <w:b/>
                <w:color w:val="84615D"/>
                <w:lang w:eastAsia="zh-CN"/>
              </w:rPr>
              <w:t>讨论并发表自己的见解</w:t>
            </w:r>
          </w:p>
        </w:tc>
        <w:tc>
          <w:tcPr>
            <w:tcW w:w="1585" w:type="dxa"/>
            <w:shd w:val="clear" w:color="auto" w:fill="FFFFFF"/>
            <w:noWrap w:val="0"/>
            <w:vAlign w:val="center"/>
          </w:tcPr>
          <w:p w14:paraId="6907DD19">
            <w:pPr>
              <w:pStyle w:val="6"/>
              <w:ind w:firstLine="180" w:firstLineChars="100"/>
              <w:rPr>
                <w:rFonts w:hint="eastAsia" w:ascii="宋体" w:hAnsi="宋体" w:eastAsia="宋体"/>
              </w:rPr>
            </w:pPr>
            <w:r>
              <w:rPr>
                <w:rFonts w:hint="eastAsia" w:ascii="宋体" w:hAnsi="宋体" w:eastAsia="宋体"/>
              </w:rPr>
              <w:t>通过测试，了解学生对知识点的掌握情况</w:t>
            </w:r>
          </w:p>
        </w:tc>
      </w:tr>
      <w:tr w14:paraId="6598E661">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567" w:hRule="atLeast"/>
          <w:jc w:val="center"/>
        </w:trPr>
        <w:tc>
          <w:tcPr>
            <w:tcW w:w="1389" w:type="dxa"/>
            <w:shd w:val="clear" w:color="auto" w:fill="F5F5E1"/>
            <w:noWrap w:val="0"/>
            <w:vAlign w:val="center"/>
          </w:tcPr>
          <w:p w14:paraId="396163D8">
            <w:pPr>
              <w:pStyle w:val="6"/>
              <w:jc w:val="center"/>
              <w:rPr>
                <w:rFonts w:hint="eastAsia" w:ascii="宋体" w:hAnsi="宋体" w:eastAsia="宋体"/>
                <w:b/>
              </w:rPr>
            </w:pPr>
          </w:p>
          <w:p w14:paraId="2358359D">
            <w:pPr>
              <w:pStyle w:val="6"/>
              <w:jc w:val="center"/>
              <w:rPr>
                <w:rFonts w:hint="eastAsia" w:ascii="宋体" w:hAnsi="宋体" w:eastAsia="宋体"/>
                <w:b/>
              </w:rPr>
            </w:pPr>
          </w:p>
          <w:p w14:paraId="54423927">
            <w:pPr>
              <w:pStyle w:val="6"/>
              <w:jc w:val="center"/>
              <w:rPr>
                <w:rFonts w:hint="eastAsia" w:ascii="宋体" w:hAnsi="宋体" w:eastAsia="宋体"/>
                <w:b/>
              </w:rPr>
            </w:pPr>
          </w:p>
          <w:p w14:paraId="6B92A85D">
            <w:pPr>
              <w:pStyle w:val="6"/>
              <w:jc w:val="center"/>
              <w:rPr>
                <w:rFonts w:hint="eastAsia" w:ascii="宋体" w:hAnsi="宋体" w:eastAsia="宋体"/>
                <w:b/>
              </w:rPr>
            </w:pPr>
          </w:p>
          <w:p w14:paraId="4C88CE76">
            <w:pPr>
              <w:pStyle w:val="6"/>
              <w:jc w:val="center"/>
              <w:rPr>
                <w:rFonts w:hint="eastAsia" w:ascii="宋体" w:hAnsi="宋体" w:eastAsia="宋体"/>
                <w:b/>
              </w:rPr>
            </w:pPr>
          </w:p>
          <w:p w14:paraId="611FD153">
            <w:pPr>
              <w:pStyle w:val="6"/>
              <w:jc w:val="center"/>
              <w:rPr>
                <w:rFonts w:hint="eastAsia" w:ascii="宋体" w:hAnsi="宋体" w:eastAsia="宋体"/>
                <w:b/>
              </w:rPr>
            </w:pPr>
          </w:p>
          <w:p w14:paraId="2A9F9FBA">
            <w:pPr>
              <w:pStyle w:val="6"/>
              <w:jc w:val="center"/>
              <w:rPr>
                <w:rFonts w:hint="eastAsia" w:ascii="宋体" w:hAnsi="宋体" w:eastAsia="宋体"/>
                <w:b/>
              </w:rPr>
            </w:pPr>
          </w:p>
          <w:p w14:paraId="2BA58610">
            <w:pPr>
              <w:pStyle w:val="6"/>
              <w:jc w:val="center"/>
              <w:rPr>
                <w:rFonts w:hint="eastAsia" w:ascii="宋体" w:hAnsi="宋体" w:eastAsia="宋体"/>
                <w:b/>
              </w:rPr>
            </w:pPr>
          </w:p>
          <w:p w14:paraId="520AF411">
            <w:pPr>
              <w:pStyle w:val="6"/>
              <w:jc w:val="center"/>
              <w:rPr>
                <w:rFonts w:hint="eastAsia" w:ascii="宋体" w:hAnsi="宋体" w:eastAsia="宋体"/>
                <w:b/>
              </w:rPr>
            </w:pPr>
          </w:p>
          <w:p w14:paraId="02A4C221">
            <w:pPr>
              <w:pStyle w:val="6"/>
              <w:jc w:val="center"/>
              <w:rPr>
                <w:rFonts w:hint="eastAsia" w:ascii="宋体" w:hAnsi="宋体" w:eastAsia="宋体"/>
                <w:b/>
              </w:rPr>
            </w:pPr>
          </w:p>
          <w:p w14:paraId="443CCB81">
            <w:pPr>
              <w:pStyle w:val="6"/>
              <w:jc w:val="center"/>
              <w:rPr>
                <w:rFonts w:hint="eastAsia" w:ascii="宋体" w:hAnsi="宋体" w:eastAsia="宋体"/>
                <w:b/>
              </w:rPr>
            </w:pPr>
          </w:p>
          <w:p w14:paraId="4D1A816A">
            <w:pPr>
              <w:pStyle w:val="6"/>
              <w:jc w:val="center"/>
              <w:rPr>
                <w:rFonts w:hint="eastAsia" w:ascii="宋体" w:hAnsi="宋体" w:eastAsia="宋体"/>
                <w:b/>
              </w:rPr>
            </w:pPr>
          </w:p>
          <w:p w14:paraId="230D73CA">
            <w:pPr>
              <w:pStyle w:val="6"/>
              <w:jc w:val="center"/>
              <w:rPr>
                <w:rFonts w:hint="eastAsia" w:ascii="宋体" w:hAnsi="宋体" w:eastAsia="宋体"/>
                <w:b/>
              </w:rPr>
            </w:pPr>
          </w:p>
          <w:p w14:paraId="19708A55">
            <w:pPr>
              <w:pStyle w:val="6"/>
              <w:jc w:val="both"/>
              <w:rPr>
                <w:rFonts w:hint="eastAsia" w:ascii="宋体" w:hAnsi="宋体" w:eastAsia="宋体"/>
                <w:b/>
              </w:rPr>
            </w:pPr>
          </w:p>
          <w:p w14:paraId="77F4D33F">
            <w:pPr>
              <w:pStyle w:val="6"/>
              <w:jc w:val="both"/>
              <w:rPr>
                <w:rFonts w:hint="eastAsia" w:ascii="宋体" w:hAnsi="宋体" w:eastAsia="宋体"/>
                <w:b/>
              </w:rPr>
            </w:pPr>
          </w:p>
          <w:p w14:paraId="277E16B7">
            <w:pPr>
              <w:pStyle w:val="6"/>
              <w:jc w:val="both"/>
              <w:rPr>
                <w:rFonts w:hint="eastAsia" w:ascii="宋体" w:hAnsi="宋体" w:eastAsia="宋体"/>
                <w:b/>
              </w:rPr>
            </w:pPr>
          </w:p>
          <w:p w14:paraId="6817DF1D">
            <w:pPr>
              <w:pStyle w:val="6"/>
              <w:jc w:val="both"/>
              <w:rPr>
                <w:rFonts w:hint="eastAsia" w:ascii="宋体" w:hAnsi="宋体" w:eastAsia="宋体"/>
                <w:b/>
              </w:rPr>
            </w:pPr>
          </w:p>
          <w:p w14:paraId="42D69067">
            <w:pPr>
              <w:pStyle w:val="6"/>
              <w:jc w:val="both"/>
              <w:rPr>
                <w:rFonts w:hint="eastAsia" w:ascii="宋体" w:hAnsi="宋体" w:eastAsia="宋体"/>
                <w:b/>
              </w:rPr>
            </w:pPr>
          </w:p>
          <w:p w14:paraId="011F012F">
            <w:pPr>
              <w:pStyle w:val="6"/>
              <w:jc w:val="both"/>
              <w:rPr>
                <w:rFonts w:hint="eastAsia" w:ascii="宋体" w:hAnsi="宋体" w:eastAsia="宋体"/>
                <w:b/>
              </w:rPr>
            </w:pPr>
          </w:p>
          <w:p w14:paraId="25CF0A98">
            <w:pPr>
              <w:pStyle w:val="6"/>
              <w:jc w:val="both"/>
              <w:rPr>
                <w:rFonts w:hint="eastAsia" w:ascii="宋体" w:hAnsi="宋体" w:eastAsia="宋体"/>
                <w:b/>
              </w:rPr>
            </w:pPr>
          </w:p>
          <w:p w14:paraId="6ABACE05">
            <w:pPr>
              <w:pStyle w:val="6"/>
              <w:jc w:val="center"/>
              <w:rPr>
                <w:rFonts w:hint="eastAsia" w:ascii="宋体" w:hAnsi="宋体" w:eastAsia="宋体"/>
                <w:b/>
              </w:rPr>
            </w:pPr>
          </w:p>
          <w:p w14:paraId="1E7956E3">
            <w:pPr>
              <w:pStyle w:val="6"/>
              <w:jc w:val="center"/>
              <w:rPr>
                <w:rFonts w:hint="eastAsia" w:ascii="宋体" w:hAnsi="宋体" w:eastAsia="宋体"/>
                <w:b/>
              </w:rPr>
            </w:pPr>
          </w:p>
          <w:p w14:paraId="0BD4D99E">
            <w:pPr>
              <w:pStyle w:val="6"/>
              <w:jc w:val="center"/>
              <w:rPr>
                <w:rFonts w:hint="eastAsia" w:ascii="宋体" w:hAnsi="宋体" w:eastAsia="宋体"/>
                <w:b/>
              </w:rPr>
            </w:pPr>
          </w:p>
          <w:p w14:paraId="3485598F">
            <w:pPr>
              <w:pStyle w:val="6"/>
              <w:jc w:val="center"/>
              <w:rPr>
                <w:rFonts w:hint="eastAsia" w:ascii="宋体" w:hAnsi="宋体" w:eastAsia="宋体"/>
                <w:b/>
              </w:rPr>
            </w:pPr>
          </w:p>
          <w:p w14:paraId="484E6CE9">
            <w:pPr>
              <w:pStyle w:val="6"/>
              <w:jc w:val="center"/>
              <w:rPr>
                <w:rFonts w:hint="eastAsia" w:ascii="宋体" w:hAnsi="宋体" w:eastAsia="宋体"/>
                <w:b/>
              </w:rPr>
            </w:pPr>
          </w:p>
          <w:p w14:paraId="36E78F85">
            <w:pPr>
              <w:pStyle w:val="6"/>
              <w:jc w:val="center"/>
              <w:rPr>
                <w:rFonts w:hint="eastAsia" w:ascii="宋体" w:hAnsi="宋体" w:eastAsia="宋体"/>
              </w:rPr>
            </w:pPr>
            <w:r>
              <w:rPr>
                <w:rFonts w:hint="eastAsia" w:ascii="宋体" w:hAnsi="宋体" w:eastAsia="宋体"/>
                <w:b/>
              </w:rPr>
              <w:t>知识讲解</w:t>
            </w:r>
            <w:r>
              <w:rPr>
                <w:rFonts w:ascii="宋体" w:hAnsi="宋体" w:eastAsia="宋体"/>
                <w:b/>
              </w:rPr>
              <w:br w:type="textWrapping"/>
            </w:r>
            <w:r>
              <w:rPr>
                <w:rFonts w:hint="eastAsia" w:ascii="宋体" w:hAnsi="宋体" w:eastAsia="宋体"/>
                <w:b/>
              </w:rPr>
              <w:t>（</w:t>
            </w:r>
            <w:r>
              <w:rPr>
                <w:rFonts w:ascii="宋体" w:hAnsi="宋体" w:eastAsia="宋体"/>
                <w:b/>
              </w:rPr>
              <w:t>3</w:t>
            </w:r>
            <w:r>
              <w:rPr>
                <w:rFonts w:hint="eastAsia" w:ascii="宋体" w:hAnsi="宋体" w:eastAsia="宋体"/>
                <w:b/>
                <w:lang w:val="en-US" w:eastAsia="zh-CN"/>
              </w:rPr>
              <w:t>5</w:t>
            </w:r>
            <w:r>
              <w:rPr>
                <w:rFonts w:ascii="宋体" w:hAnsi="宋体" w:eastAsia="宋体"/>
                <w:b/>
              </w:rPr>
              <w:t xml:space="preserve"> </w:t>
            </w:r>
            <w:r>
              <w:rPr>
                <w:rFonts w:hint="eastAsia" w:ascii="宋体" w:hAnsi="宋体" w:eastAsia="宋体"/>
                <w:b/>
              </w:rPr>
              <w:t>min）</w:t>
            </w:r>
          </w:p>
        </w:tc>
        <w:tc>
          <w:tcPr>
            <w:tcW w:w="5472" w:type="dxa"/>
            <w:shd w:val="clear" w:color="auto" w:fill="FFFFFF"/>
            <w:noWrap w:val="0"/>
            <w:vAlign w:val="center"/>
          </w:tcPr>
          <w:p w14:paraId="6E635134">
            <w:pPr>
              <w:pStyle w:val="6"/>
              <w:numPr>
                <w:ilvl w:val="0"/>
                <w:numId w:val="4"/>
              </w:numPr>
              <w:spacing w:before="120" w:after="60"/>
              <w:rPr>
                <w:rFonts w:hint="eastAsia" w:ascii="宋体" w:hAnsi="宋体" w:eastAsia="宋体"/>
                <w:b/>
                <w:color w:val="5D8979"/>
              </w:rPr>
            </w:pPr>
            <w:r>
              <w:rPr>
                <w:rFonts w:hint="eastAsia" w:ascii="宋体" w:hAnsi="宋体" w:eastAsia="宋体"/>
                <w:b/>
                <w:color w:val="5D8979"/>
              </w:rPr>
              <w:t>【教师】</w:t>
            </w:r>
            <w:r>
              <w:rPr>
                <w:rFonts w:hint="eastAsia" w:ascii="宋体" w:hAnsi="宋体" w:eastAsia="宋体"/>
                <w:b/>
                <w:color w:val="5D8979"/>
                <w:lang w:val="en-US" w:eastAsia="zh-CN"/>
              </w:rPr>
              <w:t>讲解</w:t>
            </w:r>
            <w:r>
              <w:rPr>
                <w:rFonts w:hint="eastAsia" w:ascii="宋体" w:hAnsi="宋体" w:eastAsia="宋体"/>
                <w:b/>
                <w:color w:val="5D8979"/>
              </w:rPr>
              <w:t>创业企业融资成本</w:t>
            </w:r>
          </w:p>
          <w:p w14:paraId="2604EE6C">
            <w:pPr>
              <w:pStyle w:val="6"/>
              <w:keepNext w:val="0"/>
              <w:keepLines w:val="0"/>
              <w:pageBreakBefore w:val="0"/>
              <w:widowControl/>
              <w:numPr>
                <w:ilvl w:val="0"/>
                <w:numId w:val="0"/>
              </w:numPr>
              <w:kinsoku/>
              <w:wordWrap/>
              <w:overflowPunct/>
              <w:topLinePunct w:val="0"/>
              <w:autoSpaceDE/>
              <w:autoSpaceDN/>
              <w:bidi w:val="0"/>
              <w:adjustRightInd/>
              <w:snapToGrid/>
              <w:spacing w:before="200"/>
              <w:ind w:leftChars="200"/>
              <w:textAlignment w:val="auto"/>
              <w:rPr>
                <w:rFonts w:hint="eastAsia" w:ascii="宋体" w:hAnsi="宋体" w:eastAsia="宋体" w:cs="Times New Roman"/>
                <w:bCs/>
                <w:color w:val="E4007F"/>
                <w:sz w:val="21"/>
                <w:szCs w:val="21"/>
              </w:rPr>
            </w:pPr>
            <w:r>
              <w:rPr>
                <w:rFonts w:hint="eastAsia" w:ascii="宋体" w:hAnsi="宋体" w:eastAsia="宋体" w:cs="Times New Roman"/>
                <w:bCs/>
                <w:color w:val="E4007F"/>
                <w:sz w:val="21"/>
                <w:szCs w:val="21"/>
                <w:lang w:eastAsia="zh-CN"/>
              </w:rPr>
              <w:t>一、</w:t>
            </w:r>
            <w:r>
              <w:rPr>
                <w:rFonts w:hint="eastAsia" w:ascii="宋体" w:hAnsi="宋体" w:eastAsia="宋体" w:cs="Times New Roman"/>
                <w:bCs/>
                <w:color w:val="E4007F"/>
                <w:sz w:val="21"/>
                <w:szCs w:val="21"/>
              </w:rPr>
              <w:t>融资成本概念</w:t>
            </w:r>
          </w:p>
          <w:p w14:paraId="3F17FD02">
            <w:pPr>
              <w:pStyle w:val="6"/>
              <w:keepNext w:val="0"/>
              <w:keepLines w:val="0"/>
              <w:pageBreakBefore w:val="0"/>
              <w:widowControl/>
              <w:numPr>
                <w:ilvl w:val="0"/>
                <w:numId w:val="0"/>
              </w:numPr>
              <w:kinsoku/>
              <w:wordWrap/>
              <w:overflowPunct/>
              <w:topLinePunct w:val="0"/>
              <w:autoSpaceDE/>
              <w:autoSpaceDN/>
              <w:bidi w:val="0"/>
              <w:adjustRightInd/>
              <w:snapToGrid/>
              <w:spacing w:before="200"/>
              <w:ind w:firstLine="420" w:firstLineChars="200"/>
              <w:jc w:val="left"/>
              <w:textAlignment w:val="auto"/>
              <w:rPr>
                <w:rFonts w:hint="eastAsia"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融资成本是资金所有权与资金使用权分离的产物，融资成本的实质是资金使用者支付给资金所有者的报酬。由于企业融资是一种市场交易行为，有交易就会有交易费用，资金使用者为了能够获得资金使用权，就必须支付相关的费用。如委托金融机构代理发行股票、债券而支付的注册费和代理费，向银行借款支付的手续费，等等。企业融资成本实际上包括两部分：融资费用和资金使用费。</w:t>
            </w:r>
          </w:p>
          <w:p w14:paraId="45443616">
            <w:pPr>
              <w:pStyle w:val="6"/>
              <w:keepNext w:val="0"/>
              <w:keepLines w:val="0"/>
              <w:pageBreakBefore w:val="0"/>
              <w:widowControl/>
              <w:numPr>
                <w:ilvl w:val="0"/>
                <w:numId w:val="0"/>
              </w:numPr>
              <w:kinsoku/>
              <w:wordWrap/>
              <w:overflowPunct/>
              <w:topLinePunct w:val="0"/>
              <w:autoSpaceDE/>
              <w:autoSpaceDN/>
              <w:bidi w:val="0"/>
              <w:adjustRightInd/>
              <w:snapToGrid/>
              <w:spacing w:before="200"/>
              <w:ind w:firstLine="420" w:firstLineChars="200"/>
              <w:jc w:val="left"/>
              <w:textAlignment w:val="auto"/>
              <w:rPr>
                <w:rFonts w:hint="eastAsia" w:ascii="宋体" w:hAnsi="宋体" w:eastAsia="宋体" w:cs="Times New Roman"/>
                <w:kern w:val="2"/>
                <w:sz w:val="21"/>
                <w:szCs w:val="21"/>
                <w:lang w:val="en-US" w:eastAsia="zh-CN" w:bidi="ar-SA"/>
              </w:rPr>
            </w:pPr>
            <w:r>
              <w:rPr>
                <w:rFonts w:hint="eastAsia" w:ascii="宋体" w:hAnsi="宋体" w:eastAsia="宋体" w:cs="Times New Roman"/>
                <w:kern w:val="2"/>
                <w:sz w:val="21"/>
                <w:szCs w:val="21"/>
                <w:lang w:val="en-US" w:eastAsia="zh-CN" w:bidi="ar-SA"/>
              </w:rPr>
              <w:t>融资费用是企业在资金筹资过程中发生的各种费用；资金使用费是指企业因使用资金而向其提供者支付的报酬，如股票融资向股东支付股息、红利，发行债券和借款支付的利息，借用资产支付的租金，等等。需要指出的是，上述融资成本的含义仅仅只是企业融资的财务成本，或称显性成本。除了财务成本外，企业融资还存在着机会成本或称隐性成本。机会成本是经济学的一个重要概念，它是指把某种资源用于某种特定用途而放弃的其他各种用途中的最高收益。我们在分析企业融资成本时，机会成本是一个必须考虑的因素，特别是在分析企业自有资金的使用时，机会成本非常关键。</w:t>
            </w:r>
          </w:p>
          <w:p w14:paraId="5DEBF7CC">
            <w:pPr>
              <w:pStyle w:val="6"/>
              <w:keepNext w:val="0"/>
              <w:keepLines w:val="0"/>
              <w:pageBreakBefore w:val="0"/>
              <w:widowControl/>
              <w:numPr>
                <w:ilvl w:val="0"/>
                <w:numId w:val="0"/>
              </w:numPr>
              <w:kinsoku/>
              <w:wordWrap/>
              <w:overflowPunct/>
              <w:topLinePunct w:val="0"/>
              <w:autoSpaceDE/>
              <w:autoSpaceDN/>
              <w:bidi w:val="0"/>
              <w:adjustRightInd/>
              <w:snapToGrid/>
              <w:spacing w:before="200"/>
              <w:ind w:firstLine="420" w:firstLineChars="200"/>
              <w:textAlignment w:val="auto"/>
              <w:rPr>
                <w:rFonts w:hint="eastAsia" w:ascii="宋体" w:hAnsi="宋体" w:eastAsia="宋体"/>
                <w:b/>
                <w:bCs w:val="0"/>
                <w:sz w:val="21"/>
                <w:szCs w:val="21"/>
              </w:rPr>
            </w:pPr>
            <w:r>
              <w:rPr>
                <w:rFonts w:hint="eastAsia" w:ascii="宋体" w:hAnsi="宋体" w:eastAsia="宋体" w:cs="Times New Roman"/>
                <w:bCs/>
                <w:color w:val="E4007F"/>
                <w:sz w:val="21"/>
                <w:szCs w:val="21"/>
              </w:rPr>
              <w:t>二、融资成本指标及相关成本分析</w:t>
            </w:r>
          </w:p>
          <w:p w14:paraId="51BE7093">
            <w:pPr>
              <w:pStyle w:val="6"/>
              <w:keepNext w:val="0"/>
              <w:keepLines w:val="0"/>
              <w:pageBreakBefore w:val="0"/>
              <w:widowControl/>
              <w:numPr>
                <w:ilvl w:val="0"/>
                <w:numId w:val="0"/>
              </w:numPr>
              <w:kinsoku/>
              <w:wordWrap/>
              <w:overflowPunct/>
              <w:topLinePunct w:val="0"/>
              <w:autoSpaceDE/>
              <w:autoSpaceDN/>
              <w:bidi w:val="0"/>
              <w:adjustRightInd/>
              <w:snapToGrid/>
              <w:spacing w:before="200"/>
              <w:ind w:firstLine="420" w:firstLineChars="200"/>
              <w:textAlignment w:val="auto"/>
              <w:rPr>
                <w:rFonts w:hint="eastAsia" w:ascii="宋体" w:hAnsi="宋体" w:eastAsia="宋体"/>
                <w:bCs/>
                <w:sz w:val="21"/>
                <w:szCs w:val="21"/>
              </w:rPr>
            </w:pPr>
            <w:r>
              <w:rPr>
                <w:rFonts w:hint="eastAsia" w:ascii="宋体" w:hAnsi="宋体" w:eastAsia="宋体"/>
                <w:bCs/>
                <w:sz w:val="21"/>
                <w:szCs w:val="21"/>
              </w:rPr>
              <w:t>一般情况下，融资成本指标以融资成本率来表示：融资成本率 = 资金使用费 ÷（融资总额－融资费用）。这里的融资成本即是资金成本，是一般企业在融资过程中着重分析的对象。但从现代财务管理理念来看，这样的分析和评价不能完全满足现代理财的需要，我们应该从更深层次的意义上来考虑融资的几个其他相关成本。</w:t>
            </w:r>
          </w:p>
          <w:p w14:paraId="570243C8">
            <w:pPr>
              <w:pStyle w:val="6"/>
              <w:keepNext w:val="0"/>
              <w:keepLines w:val="0"/>
              <w:pageBreakBefore w:val="0"/>
              <w:widowControl/>
              <w:numPr>
                <w:ilvl w:val="0"/>
                <w:numId w:val="0"/>
              </w:numPr>
              <w:kinsoku/>
              <w:wordWrap/>
              <w:overflowPunct/>
              <w:topLinePunct w:val="0"/>
              <w:autoSpaceDE/>
              <w:autoSpaceDN/>
              <w:bidi w:val="0"/>
              <w:adjustRightInd/>
              <w:snapToGrid/>
              <w:spacing w:before="200"/>
              <w:ind w:firstLine="420" w:firstLineChars="200"/>
              <w:textAlignment w:val="auto"/>
              <w:rPr>
                <w:rFonts w:hint="eastAsia" w:ascii="宋体" w:hAnsi="宋体" w:eastAsia="宋体"/>
                <w:bCs/>
                <w:sz w:val="21"/>
                <w:szCs w:val="21"/>
              </w:rPr>
            </w:pPr>
            <w:r>
              <w:rPr>
                <w:rFonts w:hint="eastAsia" w:ascii="宋体" w:hAnsi="宋体" w:eastAsia="宋体"/>
                <w:bCs/>
                <w:sz w:val="21"/>
                <w:szCs w:val="21"/>
              </w:rPr>
              <w:t>首先是企业融资的机会成本。就企业内源融资来说，一般是“无偿”使用的，它无须实际对外支付融资成本（这里主要指财务成本）。但是，如果从社会各种投资或资本所取得平均收益的角度看，内源融资的留存收益也应于使用后取得相应的报酬，这和其他融资方式应该是没有区别的，所不同的只是内源融资不需对外支付，而其他融资方式必须对外支付。以留存收益为代表的企业内源融资的融资成本应该是普通股的盈利率，只不过它没有融资费用而已。</w:t>
            </w:r>
          </w:p>
          <w:p w14:paraId="2AF91337">
            <w:pPr>
              <w:pStyle w:val="6"/>
              <w:keepNext w:val="0"/>
              <w:keepLines w:val="0"/>
              <w:pageBreakBefore w:val="0"/>
              <w:widowControl/>
              <w:numPr>
                <w:ilvl w:val="0"/>
                <w:numId w:val="0"/>
              </w:numPr>
              <w:kinsoku/>
              <w:wordWrap/>
              <w:overflowPunct/>
              <w:topLinePunct w:val="0"/>
              <w:autoSpaceDE/>
              <w:autoSpaceDN/>
              <w:bidi w:val="0"/>
              <w:adjustRightInd/>
              <w:snapToGrid/>
              <w:spacing w:before="200"/>
              <w:ind w:firstLine="420" w:firstLineChars="200"/>
              <w:textAlignment w:val="auto"/>
              <w:rPr>
                <w:rFonts w:hint="eastAsia" w:ascii="宋体" w:hAnsi="宋体" w:eastAsia="宋体"/>
                <w:bCs/>
                <w:sz w:val="21"/>
                <w:szCs w:val="21"/>
              </w:rPr>
            </w:pPr>
            <w:r>
              <w:rPr>
                <w:rFonts w:hint="eastAsia" w:ascii="宋体" w:hAnsi="宋体" w:eastAsia="宋体"/>
                <w:bCs/>
                <w:sz w:val="21"/>
                <w:szCs w:val="21"/>
              </w:rPr>
              <w:t>其次是风险成本，企业融资的风险成本主要指破产成本和财务困境成本。企业债务融资的破产风险是企业融资的主要风险，与企业破产相关的企业价值损失就是破产成本，也就是企业融资的风险成本。财务困境成本包括法律、管理和咨询费用。其间接成本包括因财务困境影响到企业经营能力，至少减少对企业产品的需求，以及没有债权人许可不能做决策，管理层花费的时间和精力等。</w:t>
            </w:r>
          </w:p>
          <w:p w14:paraId="6BF1E21F">
            <w:pPr>
              <w:pStyle w:val="6"/>
              <w:keepNext w:val="0"/>
              <w:keepLines w:val="0"/>
              <w:pageBreakBefore w:val="0"/>
              <w:widowControl/>
              <w:numPr>
                <w:ilvl w:val="0"/>
                <w:numId w:val="0"/>
              </w:numPr>
              <w:kinsoku/>
              <w:wordWrap/>
              <w:overflowPunct/>
              <w:topLinePunct w:val="0"/>
              <w:autoSpaceDE/>
              <w:autoSpaceDN/>
              <w:bidi w:val="0"/>
              <w:adjustRightInd/>
              <w:snapToGrid/>
              <w:spacing w:before="200"/>
              <w:ind w:firstLine="420" w:firstLineChars="200"/>
              <w:textAlignment w:val="auto"/>
              <w:rPr>
                <w:rFonts w:hint="eastAsia" w:ascii="宋体" w:hAnsi="宋体" w:eastAsia="宋体"/>
                <w:bCs/>
                <w:sz w:val="21"/>
                <w:szCs w:val="21"/>
              </w:rPr>
            </w:pPr>
            <w:r>
              <w:rPr>
                <w:rFonts w:hint="eastAsia" w:ascii="宋体" w:hAnsi="宋体" w:eastAsia="宋体"/>
                <w:bCs/>
                <w:sz w:val="21"/>
                <w:szCs w:val="21"/>
              </w:rPr>
              <w:t>最后，企业融资还必须支付代理成本。资金的使用者和提供者之间会产生委托—代理关系，这就要求委托人为了约束代理人行为而必须进行监督和激励，如此产生的监督成本和约束成本便是所谓的代理成本。另外，资金的使用者还可能进行偏离委托人利益最大化的投资行为，从而产生整体的效率损失。</w:t>
            </w:r>
          </w:p>
          <w:p w14:paraId="07084AAF">
            <w:pPr>
              <w:pStyle w:val="6"/>
              <w:keepNext w:val="0"/>
              <w:keepLines w:val="0"/>
              <w:pageBreakBefore w:val="0"/>
              <w:widowControl/>
              <w:numPr>
                <w:ilvl w:val="0"/>
                <w:numId w:val="0"/>
              </w:numPr>
              <w:kinsoku/>
              <w:wordWrap/>
              <w:overflowPunct/>
              <w:topLinePunct w:val="0"/>
              <w:autoSpaceDE/>
              <w:autoSpaceDN/>
              <w:bidi w:val="0"/>
              <w:adjustRightInd/>
              <w:snapToGrid/>
              <w:spacing w:before="200"/>
              <w:ind w:firstLine="420" w:firstLineChars="200"/>
              <w:textAlignment w:val="auto"/>
              <w:rPr>
                <w:rFonts w:hint="eastAsia" w:ascii="宋体" w:hAnsi="宋体" w:eastAsia="宋体"/>
                <w:b/>
                <w:bCs w:val="0"/>
                <w:szCs w:val="21"/>
              </w:rPr>
            </w:pPr>
            <w:r>
              <w:rPr>
                <w:rFonts w:hint="eastAsia" w:ascii="宋体" w:hAnsi="宋体" w:eastAsia="宋体" w:cs="Times New Roman"/>
                <w:bCs/>
                <w:color w:val="E4007F"/>
                <w:sz w:val="21"/>
                <w:szCs w:val="21"/>
              </w:rPr>
              <w:t>三、融资成本的计算</w:t>
            </w:r>
          </w:p>
          <w:p w14:paraId="77718ED4">
            <w:pPr>
              <w:pStyle w:val="6"/>
              <w:keepNext w:val="0"/>
              <w:keepLines w:val="0"/>
              <w:pageBreakBefore w:val="0"/>
              <w:widowControl/>
              <w:numPr>
                <w:ilvl w:val="0"/>
                <w:numId w:val="0"/>
              </w:numPr>
              <w:kinsoku/>
              <w:wordWrap/>
              <w:overflowPunct/>
              <w:topLinePunct w:val="0"/>
              <w:autoSpaceDE/>
              <w:autoSpaceDN/>
              <w:bidi w:val="0"/>
              <w:adjustRightInd/>
              <w:snapToGrid/>
              <w:spacing w:before="200"/>
              <w:ind w:firstLine="420" w:firstLineChars="200"/>
              <w:textAlignment w:val="auto"/>
              <w:rPr>
                <w:rFonts w:hint="eastAsia" w:ascii="宋体" w:hAnsi="宋体" w:eastAsia="宋体"/>
                <w:bCs/>
                <w:sz w:val="21"/>
                <w:szCs w:val="21"/>
              </w:rPr>
            </w:pPr>
            <w:r>
              <w:rPr>
                <w:rFonts w:hint="eastAsia" w:ascii="宋体" w:hAnsi="宋体" w:eastAsia="宋体"/>
                <w:bCs/>
                <w:sz w:val="21"/>
                <w:szCs w:val="21"/>
              </w:rPr>
              <w:t>在公司资本成本的计量方面，从20世纪90年代以来，西方公司财务研究基本上认可了资本资产定价模型（CAPM）在确定经过风险调整之后的所有者权益成本中的主流地位。在借鉴相关研究的基础上，顾银宽等（2004）建立了中国上市公司的债务融资成本、股权融资成本和融资总成本的计量模型或公式。</w:t>
            </w:r>
          </w:p>
          <w:p w14:paraId="30068F69">
            <w:pPr>
              <w:pStyle w:val="6"/>
              <w:keepNext w:val="0"/>
              <w:keepLines w:val="0"/>
              <w:pageBreakBefore w:val="0"/>
              <w:widowControl/>
              <w:numPr>
                <w:ilvl w:val="0"/>
                <w:numId w:val="0"/>
              </w:numPr>
              <w:kinsoku/>
              <w:wordWrap/>
              <w:overflowPunct/>
              <w:topLinePunct w:val="0"/>
              <w:autoSpaceDE/>
              <w:autoSpaceDN/>
              <w:bidi w:val="0"/>
              <w:adjustRightInd/>
              <w:snapToGrid/>
              <w:spacing w:before="200"/>
              <w:ind w:firstLine="422" w:firstLineChars="200"/>
              <w:textAlignment w:val="auto"/>
              <w:rPr>
                <w:rFonts w:hint="eastAsia" w:ascii="宋体" w:hAnsi="宋体" w:eastAsia="宋体"/>
                <w:bCs/>
                <w:sz w:val="21"/>
                <w:szCs w:val="21"/>
              </w:rPr>
            </w:pPr>
            <w:r>
              <w:rPr>
                <w:rFonts w:hint="eastAsia" w:ascii="宋体" w:hAnsi="宋体" w:eastAsia="宋体"/>
                <w:b/>
                <w:bCs w:val="0"/>
                <w:sz w:val="21"/>
                <w:szCs w:val="21"/>
              </w:rPr>
              <w:t>（一）融资总成本的计算</w:t>
            </w:r>
          </w:p>
          <w:p w14:paraId="1AACB5CB">
            <w:pPr>
              <w:pStyle w:val="6"/>
              <w:keepNext w:val="0"/>
              <w:keepLines w:val="0"/>
              <w:pageBreakBefore w:val="0"/>
              <w:widowControl/>
              <w:numPr>
                <w:ilvl w:val="0"/>
                <w:numId w:val="0"/>
              </w:numPr>
              <w:kinsoku/>
              <w:wordWrap/>
              <w:overflowPunct/>
              <w:topLinePunct w:val="0"/>
              <w:autoSpaceDE/>
              <w:autoSpaceDN/>
              <w:bidi w:val="0"/>
              <w:adjustRightInd/>
              <w:snapToGrid/>
              <w:spacing w:before="200"/>
              <w:ind w:firstLine="420" w:firstLineChars="200"/>
              <w:textAlignment w:val="auto"/>
              <w:rPr>
                <w:rFonts w:hint="eastAsia" w:ascii="宋体" w:hAnsi="宋体" w:eastAsia="宋体"/>
                <w:bCs/>
                <w:sz w:val="21"/>
                <w:szCs w:val="21"/>
              </w:rPr>
            </w:pPr>
            <w:r>
              <w:rPr>
                <w:rFonts w:hint="eastAsia" w:ascii="宋体" w:hAnsi="宋体" w:eastAsia="宋体"/>
                <w:bCs/>
                <w:sz w:val="21"/>
                <w:szCs w:val="21"/>
              </w:rPr>
              <w:t>上市公司的总成本是债务融资与股权融资成本的加权平均，即有：</w:t>
            </w:r>
          </w:p>
          <w:p w14:paraId="7105A21C">
            <w:pPr>
              <w:pStyle w:val="6"/>
              <w:keepNext w:val="0"/>
              <w:keepLines w:val="0"/>
              <w:pageBreakBefore w:val="0"/>
              <w:widowControl/>
              <w:numPr>
                <w:ilvl w:val="0"/>
                <w:numId w:val="0"/>
              </w:numPr>
              <w:kinsoku/>
              <w:wordWrap/>
              <w:overflowPunct/>
              <w:topLinePunct w:val="0"/>
              <w:autoSpaceDE/>
              <w:autoSpaceDN/>
              <w:bidi w:val="0"/>
              <w:adjustRightInd/>
              <w:snapToGrid/>
              <w:spacing w:before="200"/>
              <w:ind w:firstLine="420" w:firstLineChars="200"/>
              <w:textAlignment w:val="auto"/>
              <w:rPr>
                <w:rFonts w:hint="eastAsia" w:ascii="宋体" w:hAnsi="宋体" w:eastAsia="宋体"/>
                <w:bCs/>
                <w:sz w:val="21"/>
                <w:szCs w:val="21"/>
              </w:rPr>
            </w:pPr>
            <w:r>
              <w:rPr>
                <w:rFonts w:hint="eastAsia" w:ascii="宋体" w:hAnsi="宋体" w:eastAsia="宋体"/>
                <w:bCs/>
                <w:sz w:val="21"/>
                <w:szCs w:val="21"/>
              </w:rPr>
              <w:t>C = DC*（DK/V ）（1－T）+ EC*（EK/V）</w:t>
            </w:r>
          </w:p>
          <w:p w14:paraId="120CCF52">
            <w:pPr>
              <w:pStyle w:val="6"/>
              <w:keepNext w:val="0"/>
              <w:keepLines w:val="0"/>
              <w:pageBreakBefore w:val="0"/>
              <w:widowControl/>
              <w:numPr>
                <w:ilvl w:val="0"/>
                <w:numId w:val="0"/>
              </w:numPr>
              <w:kinsoku/>
              <w:wordWrap/>
              <w:overflowPunct/>
              <w:topLinePunct w:val="0"/>
              <w:autoSpaceDE/>
              <w:autoSpaceDN/>
              <w:bidi w:val="0"/>
              <w:adjustRightInd/>
              <w:snapToGrid/>
              <w:spacing w:before="200"/>
              <w:ind w:firstLine="420" w:firstLineChars="200"/>
              <w:textAlignment w:val="auto"/>
              <w:rPr>
                <w:rFonts w:hint="eastAsia" w:ascii="宋体" w:hAnsi="宋体" w:eastAsia="宋体"/>
                <w:bCs/>
                <w:sz w:val="21"/>
                <w:szCs w:val="21"/>
              </w:rPr>
            </w:pPr>
            <w:r>
              <w:rPr>
                <w:rFonts w:hint="eastAsia" w:ascii="宋体" w:hAnsi="宋体" w:eastAsia="宋体"/>
                <w:bCs/>
                <w:sz w:val="21"/>
                <w:szCs w:val="21"/>
              </w:rPr>
              <w:t>其中，C 代表融资总成本，T 代表所得税率，V 代表上市公司总价值。</w:t>
            </w:r>
          </w:p>
          <w:p w14:paraId="3FE82995">
            <w:pPr>
              <w:pStyle w:val="6"/>
              <w:keepNext w:val="0"/>
              <w:keepLines w:val="0"/>
              <w:pageBreakBefore w:val="0"/>
              <w:widowControl/>
              <w:numPr>
                <w:ilvl w:val="0"/>
                <w:numId w:val="0"/>
              </w:numPr>
              <w:kinsoku/>
              <w:wordWrap/>
              <w:overflowPunct/>
              <w:topLinePunct w:val="0"/>
              <w:autoSpaceDE/>
              <w:autoSpaceDN/>
              <w:bidi w:val="0"/>
              <w:adjustRightInd/>
              <w:snapToGrid/>
              <w:spacing w:before="200"/>
              <w:ind w:firstLine="422" w:firstLineChars="200"/>
              <w:textAlignment w:val="auto"/>
              <w:rPr>
                <w:rFonts w:hint="eastAsia" w:ascii="宋体" w:hAnsi="宋体" w:eastAsia="宋体"/>
                <w:b/>
                <w:bCs w:val="0"/>
                <w:sz w:val="21"/>
                <w:szCs w:val="21"/>
              </w:rPr>
            </w:pPr>
            <w:r>
              <w:rPr>
                <w:rFonts w:hint="eastAsia" w:ascii="宋体" w:hAnsi="宋体" w:eastAsia="宋体"/>
                <w:b/>
                <w:bCs w:val="0"/>
                <w:sz w:val="21"/>
                <w:szCs w:val="21"/>
              </w:rPr>
              <w:t>（二）债务融资成本的计算</w:t>
            </w:r>
          </w:p>
          <w:p w14:paraId="28A6847B">
            <w:pPr>
              <w:pStyle w:val="6"/>
              <w:keepNext w:val="0"/>
              <w:keepLines w:val="0"/>
              <w:pageBreakBefore w:val="0"/>
              <w:widowControl/>
              <w:numPr>
                <w:ilvl w:val="0"/>
                <w:numId w:val="0"/>
              </w:numPr>
              <w:kinsoku/>
              <w:wordWrap/>
              <w:overflowPunct/>
              <w:topLinePunct w:val="0"/>
              <w:autoSpaceDE/>
              <w:autoSpaceDN/>
              <w:bidi w:val="0"/>
              <w:adjustRightInd/>
              <w:snapToGrid/>
              <w:spacing w:before="200"/>
              <w:ind w:firstLine="420" w:firstLineChars="200"/>
              <w:textAlignment w:val="auto"/>
              <w:rPr>
                <w:rFonts w:hint="eastAsia" w:ascii="宋体" w:hAnsi="宋体" w:eastAsia="宋体"/>
                <w:bCs/>
                <w:sz w:val="21"/>
                <w:szCs w:val="21"/>
              </w:rPr>
            </w:pPr>
            <w:r>
              <w:rPr>
                <w:rFonts w:hint="eastAsia" w:ascii="宋体" w:hAnsi="宋体" w:eastAsia="宋体"/>
                <w:bCs/>
                <w:sz w:val="21"/>
                <w:szCs w:val="21"/>
              </w:rPr>
              <w:t>债务融资成本计算公式为：</w:t>
            </w:r>
          </w:p>
          <w:p w14:paraId="2C5851B8">
            <w:pPr>
              <w:pStyle w:val="6"/>
              <w:keepNext w:val="0"/>
              <w:keepLines w:val="0"/>
              <w:pageBreakBefore w:val="0"/>
              <w:widowControl/>
              <w:numPr>
                <w:ilvl w:val="0"/>
                <w:numId w:val="0"/>
              </w:numPr>
              <w:kinsoku/>
              <w:wordWrap/>
              <w:overflowPunct/>
              <w:topLinePunct w:val="0"/>
              <w:autoSpaceDE/>
              <w:autoSpaceDN/>
              <w:bidi w:val="0"/>
              <w:adjustRightInd/>
              <w:snapToGrid/>
              <w:spacing w:before="200"/>
              <w:ind w:firstLine="420" w:firstLineChars="200"/>
              <w:textAlignment w:val="auto"/>
              <w:rPr>
                <w:rFonts w:hint="eastAsia" w:ascii="宋体" w:hAnsi="宋体" w:eastAsia="宋体"/>
                <w:bCs/>
                <w:sz w:val="21"/>
                <w:szCs w:val="21"/>
              </w:rPr>
            </w:pPr>
            <w:r>
              <w:rPr>
                <w:rFonts w:hint="eastAsia" w:ascii="宋体" w:hAnsi="宋体" w:eastAsia="宋体"/>
                <w:bCs/>
                <w:sz w:val="21"/>
                <w:szCs w:val="21"/>
              </w:rPr>
              <w:drawing>
                <wp:inline distT="0" distB="0" distL="114300" distR="114300">
                  <wp:extent cx="1447800" cy="327660"/>
                  <wp:effectExtent l="0" t="0" r="0" b="15240"/>
                  <wp:docPr id="3" name="图片 1" descr="6ea82a0fb30643d260ab106d998ab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descr="6ea82a0fb30643d260ab106d998ab7b"/>
                          <pic:cNvPicPr>
                            <a:picLocks noChangeAspect="1"/>
                          </pic:cNvPicPr>
                        </pic:nvPicPr>
                        <pic:blipFill>
                          <a:blip r:embed="rId8"/>
                          <a:stretch>
                            <a:fillRect/>
                          </a:stretch>
                        </pic:blipFill>
                        <pic:spPr>
                          <a:xfrm>
                            <a:off x="0" y="0"/>
                            <a:ext cx="1447800" cy="327660"/>
                          </a:xfrm>
                          <a:prstGeom prst="rect">
                            <a:avLst/>
                          </a:prstGeom>
                          <a:noFill/>
                          <a:ln>
                            <a:noFill/>
                          </a:ln>
                        </pic:spPr>
                      </pic:pic>
                    </a:graphicData>
                  </a:graphic>
                </wp:inline>
              </w:drawing>
            </w:r>
          </w:p>
          <w:p w14:paraId="58204F61">
            <w:pPr>
              <w:pStyle w:val="6"/>
              <w:keepNext w:val="0"/>
              <w:keepLines w:val="0"/>
              <w:pageBreakBefore w:val="0"/>
              <w:widowControl/>
              <w:numPr>
                <w:ilvl w:val="0"/>
                <w:numId w:val="0"/>
              </w:numPr>
              <w:kinsoku/>
              <w:wordWrap/>
              <w:overflowPunct/>
              <w:topLinePunct w:val="0"/>
              <w:autoSpaceDE/>
              <w:autoSpaceDN/>
              <w:bidi w:val="0"/>
              <w:adjustRightInd/>
              <w:snapToGrid/>
              <w:spacing w:before="200"/>
              <w:ind w:firstLine="420" w:firstLineChars="200"/>
              <w:textAlignment w:val="auto"/>
              <w:rPr>
                <w:rFonts w:hint="eastAsia" w:ascii="宋体" w:hAnsi="宋体" w:eastAsia="宋体"/>
                <w:bCs/>
                <w:sz w:val="21"/>
                <w:szCs w:val="21"/>
              </w:rPr>
            </w:pPr>
            <w:r>
              <w:rPr>
                <w:rFonts w:hint="eastAsia" w:ascii="宋体" w:hAnsi="宋体" w:eastAsia="宋体"/>
                <w:bCs/>
                <w:sz w:val="21"/>
                <w:szCs w:val="21"/>
              </w:rPr>
              <w:t>其中，DS1代表短期借款，DS2代表一年内到期的长期借款，DL代表长期负债合计。</w:t>
            </w:r>
          </w:p>
          <w:p w14:paraId="34875180">
            <w:pPr>
              <w:pStyle w:val="6"/>
              <w:keepNext w:val="0"/>
              <w:keepLines w:val="0"/>
              <w:pageBreakBefore w:val="0"/>
              <w:widowControl/>
              <w:numPr>
                <w:ilvl w:val="0"/>
                <w:numId w:val="0"/>
              </w:numPr>
              <w:kinsoku/>
              <w:wordWrap/>
              <w:overflowPunct/>
              <w:topLinePunct w:val="0"/>
              <w:autoSpaceDE/>
              <w:autoSpaceDN/>
              <w:bidi w:val="0"/>
              <w:adjustRightInd/>
              <w:snapToGrid/>
              <w:spacing w:before="200"/>
              <w:ind w:firstLine="422" w:firstLineChars="200"/>
              <w:textAlignment w:val="auto"/>
              <w:rPr>
                <w:rFonts w:hint="eastAsia" w:ascii="宋体" w:hAnsi="宋体" w:eastAsia="宋体"/>
                <w:b/>
                <w:bCs w:val="0"/>
                <w:sz w:val="21"/>
                <w:szCs w:val="21"/>
              </w:rPr>
            </w:pPr>
            <w:r>
              <w:rPr>
                <w:rFonts w:hint="eastAsia" w:ascii="宋体" w:hAnsi="宋体" w:eastAsia="宋体"/>
                <w:b/>
                <w:bCs w:val="0"/>
                <w:sz w:val="21"/>
                <w:szCs w:val="21"/>
              </w:rPr>
              <w:t>（三）股权融资成本的计算</w:t>
            </w:r>
          </w:p>
          <w:p w14:paraId="7AE98A66">
            <w:pPr>
              <w:pStyle w:val="6"/>
              <w:keepNext w:val="0"/>
              <w:keepLines w:val="0"/>
              <w:pageBreakBefore w:val="0"/>
              <w:widowControl/>
              <w:numPr>
                <w:ilvl w:val="0"/>
                <w:numId w:val="0"/>
              </w:numPr>
              <w:kinsoku/>
              <w:wordWrap/>
              <w:overflowPunct/>
              <w:topLinePunct w:val="0"/>
              <w:autoSpaceDE/>
              <w:autoSpaceDN/>
              <w:bidi w:val="0"/>
              <w:adjustRightInd/>
              <w:snapToGrid/>
              <w:spacing w:before="200"/>
              <w:ind w:firstLine="420" w:firstLineChars="200"/>
              <w:textAlignment w:val="auto"/>
              <w:rPr>
                <w:rFonts w:hint="eastAsia" w:ascii="宋体" w:hAnsi="宋体" w:eastAsia="宋体"/>
                <w:bCs/>
                <w:sz w:val="21"/>
                <w:szCs w:val="21"/>
              </w:rPr>
            </w:pPr>
            <w:r>
              <w:rPr>
                <w:rFonts w:hint="eastAsia" w:ascii="宋体" w:hAnsi="宋体" w:eastAsia="宋体"/>
                <w:bCs/>
                <w:sz w:val="21"/>
                <w:szCs w:val="21"/>
              </w:rPr>
              <w:t>股权融资成本计算公式为：</w:t>
            </w:r>
          </w:p>
          <w:p w14:paraId="1CBBA254">
            <w:pPr>
              <w:pStyle w:val="6"/>
              <w:keepNext w:val="0"/>
              <w:keepLines w:val="0"/>
              <w:pageBreakBefore w:val="0"/>
              <w:widowControl/>
              <w:numPr>
                <w:ilvl w:val="0"/>
                <w:numId w:val="0"/>
              </w:numPr>
              <w:kinsoku/>
              <w:wordWrap/>
              <w:overflowPunct/>
              <w:topLinePunct w:val="0"/>
              <w:autoSpaceDE/>
              <w:autoSpaceDN/>
              <w:bidi w:val="0"/>
              <w:adjustRightInd/>
              <w:snapToGrid/>
              <w:spacing w:before="200"/>
              <w:ind w:firstLine="360" w:firstLineChars="200"/>
              <w:textAlignment w:val="auto"/>
              <w:rPr>
                <w:rFonts w:hint="eastAsia" w:ascii="宋体" w:hAnsi="宋体" w:eastAsia="宋体"/>
                <w:bCs/>
                <w:szCs w:val="21"/>
              </w:rPr>
            </w:pPr>
            <w:r>
              <w:rPr>
                <w:rFonts w:hint="eastAsia" w:ascii="宋体" w:hAnsi="宋体" w:eastAsia="宋体"/>
                <w:bCs/>
                <w:szCs w:val="21"/>
              </w:rPr>
              <w:drawing>
                <wp:inline distT="0" distB="0" distL="114300" distR="114300">
                  <wp:extent cx="1707515" cy="465455"/>
                  <wp:effectExtent l="0" t="0" r="6985" b="10795"/>
                  <wp:docPr id="2" name="图片 2" descr="288adfcb82819a0023d10b1c56c30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288adfcb82819a0023d10b1c56c309b"/>
                          <pic:cNvPicPr>
                            <a:picLocks noChangeAspect="1"/>
                          </pic:cNvPicPr>
                        </pic:nvPicPr>
                        <pic:blipFill>
                          <a:blip r:embed="rId9"/>
                          <a:stretch>
                            <a:fillRect/>
                          </a:stretch>
                        </pic:blipFill>
                        <pic:spPr>
                          <a:xfrm>
                            <a:off x="0" y="0"/>
                            <a:ext cx="1707515" cy="465455"/>
                          </a:xfrm>
                          <a:prstGeom prst="rect">
                            <a:avLst/>
                          </a:prstGeom>
                          <a:noFill/>
                          <a:ln>
                            <a:noFill/>
                          </a:ln>
                        </pic:spPr>
                      </pic:pic>
                    </a:graphicData>
                  </a:graphic>
                </wp:inline>
              </w:drawing>
            </w:r>
          </w:p>
          <w:p w14:paraId="69EDC9D8">
            <w:pPr>
              <w:pStyle w:val="6"/>
              <w:keepNext w:val="0"/>
              <w:keepLines w:val="0"/>
              <w:pageBreakBefore w:val="0"/>
              <w:widowControl/>
              <w:numPr>
                <w:ilvl w:val="0"/>
                <w:numId w:val="0"/>
              </w:numPr>
              <w:kinsoku/>
              <w:wordWrap/>
              <w:overflowPunct/>
              <w:topLinePunct w:val="0"/>
              <w:autoSpaceDE/>
              <w:autoSpaceDN/>
              <w:bidi w:val="0"/>
              <w:adjustRightInd/>
              <w:snapToGrid/>
              <w:spacing w:before="200"/>
              <w:ind w:firstLine="420" w:firstLineChars="200"/>
              <w:textAlignment w:val="auto"/>
              <w:rPr>
                <w:rFonts w:hint="eastAsia" w:ascii="宋体" w:hAnsi="宋体" w:eastAsia="宋体"/>
                <w:bCs/>
                <w:sz w:val="21"/>
                <w:szCs w:val="21"/>
              </w:rPr>
            </w:pPr>
            <w:r>
              <w:rPr>
                <w:rFonts w:hint="eastAsia" w:ascii="宋体" w:hAnsi="宋体" w:eastAsia="宋体"/>
                <w:bCs/>
                <w:sz w:val="21"/>
                <w:szCs w:val="21"/>
              </w:rPr>
              <w:t>其中，E</w:t>
            </w:r>
            <w:r>
              <w:rPr>
                <w:rFonts w:hint="eastAsia" w:ascii="宋体" w:hAnsi="宋体" w:eastAsia="宋体"/>
                <w:bCs/>
                <w:sz w:val="21"/>
                <w:szCs w:val="21"/>
                <w:vertAlign w:val="subscript"/>
              </w:rPr>
              <w:t>K1</w:t>
            </w:r>
            <w:r>
              <w:rPr>
                <w:rFonts w:hint="eastAsia" w:ascii="宋体" w:hAnsi="宋体" w:eastAsia="宋体"/>
                <w:bCs/>
                <w:sz w:val="21"/>
                <w:szCs w:val="21"/>
              </w:rPr>
              <w:t>代表股东权益合计，E</w:t>
            </w:r>
            <w:r>
              <w:rPr>
                <w:rFonts w:hint="eastAsia" w:ascii="宋体" w:hAnsi="宋体" w:eastAsia="宋体"/>
                <w:bCs/>
                <w:sz w:val="21"/>
                <w:szCs w:val="21"/>
                <w:vertAlign w:val="subscript"/>
              </w:rPr>
              <w:t>K2</w:t>
            </w:r>
            <w:r>
              <w:rPr>
                <w:rFonts w:hint="eastAsia" w:ascii="宋体" w:hAnsi="宋体" w:eastAsia="宋体"/>
                <w:bCs/>
                <w:sz w:val="21"/>
                <w:szCs w:val="21"/>
              </w:rPr>
              <w:t>代表少数股东权益，E</w:t>
            </w:r>
            <w:r>
              <w:rPr>
                <w:rFonts w:hint="eastAsia" w:ascii="宋体" w:hAnsi="宋体" w:eastAsia="宋体"/>
                <w:bCs/>
                <w:sz w:val="21"/>
                <w:szCs w:val="21"/>
                <w:vertAlign w:val="subscript"/>
              </w:rPr>
              <w:t>K3</w:t>
            </w:r>
            <w:r>
              <w:rPr>
                <w:rFonts w:hint="eastAsia" w:ascii="宋体" w:hAnsi="宋体" w:eastAsia="宋体"/>
                <w:bCs/>
                <w:sz w:val="21"/>
                <w:szCs w:val="21"/>
              </w:rPr>
              <w:t>代表坏账准备，E</w:t>
            </w:r>
            <w:r>
              <w:rPr>
                <w:rFonts w:hint="eastAsia" w:ascii="宋体" w:hAnsi="宋体" w:eastAsia="宋体"/>
                <w:bCs/>
                <w:sz w:val="21"/>
                <w:szCs w:val="21"/>
                <w:vertAlign w:val="subscript"/>
              </w:rPr>
              <w:t>K4</w:t>
            </w:r>
            <w:r>
              <w:rPr>
                <w:rFonts w:hint="eastAsia" w:ascii="宋体" w:hAnsi="宋体" w:eastAsia="宋体"/>
                <w:bCs/>
                <w:sz w:val="21"/>
                <w:szCs w:val="21"/>
              </w:rPr>
              <w:t>代表存货跌价准备，E</w:t>
            </w:r>
            <w:r>
              <w:rPr>
                <w:rFonts w:hint="eastAsia" w:ascii="宋体" w:hAnsi="宋体" w:eastAsia="宋体"/>
                <w:bCs/>
                <w:sz w:val="21"/>
                <w:szCs w:val="21"/>
                <w:vertAlign w:val="subscript"/>
              </w:rPr>
              <w:t>K5</w:t>
            </w:r>
            <w:r>
              <w:rPr>
                <w:rFonts w:hint="eastAsia" w:ascii="宋体" w:hAnsi="宋体" w:eastAsia="宋体"/>
                <w:bCs/>
                <w:sz w:val="21"/>
                <w:szCs w:val="21"/>
              </w:rPr>
              <w:t>代表累计税后营业外支出，E</w:t>
            </w:r>
            <w:r>
              <w:rPr>
                <w:rFonts w:hint="eastAsia" w:ascii="宋体" w:hAnsi="宋体" w:eastAsia="宋体"/>
                <w:bCs/>
                <w:sz w:val="21"/>
                <w:szCs w:val="21"/>
                <w:vertAlign w:val="subscript"/>
              </w:rPr>
              <w:t>R1</w:t>
            </w:r>
            <w:r>
              <w:rPr>
                <w:rFonts w:hint="eastAsia" w:ascii="宋体" w:hAnsi="宋体" w:eastAsia="宋体"/>
                <w:bCs/>
                <w:sz w:val="21"/>
                <w:szCs w:val="21"/>
              </w:rPr>
              <w:t>代表累计税后营业外收入，E</w:t>
            </w:r>
            <w:r>
              <w:rPr>
                <w:rFonts w:hint="eastAsia" w:ascii="宋体" w:hAnsi="宋体" w:eastAsia="宋体"/>
                <w:bCs/>
                <w:sz w:val="21"/>
                <w:szCs w:val="21"/>
                <w:vertAlign w:val="subscript"/>
              </w:rPr>
              <w:t>R2</w:t>
            </w:r>
            <w:r>
              <w:rPr>
                <w:rFonts w:hint="eastAsia" w:ascii="宋体" w:hAnsi="宋体" w:eastAsia="宋体"/>
                <w:bCs/>
                <w:sz w:val="21"/>
                <w:szCs w:val="21"/>
              </w:rPr>
              <w:t>代表累计税后补贴收入。</w:t>
            </w:r>
          </w:p>
          <w:p w14:paraId="163B5B0F">
            <w:pPr>
              <w:pStyle w:val="6"/>
              <w:keepNext w:val="0"/>
              <w:keepLines w:val="0"/>
              <w:pageBreakBefore w:val="0"/>
              <w:widowControl/>
              <w:numPr>
                <w:ilvl w:val="0"/>
                <w:numId w:val="0"/>
              </w:numPr>
              <w:kinsoku/>
              <w:wordWrap/>
              <w:overflowPunct/>
              <w:topLinePunct w:val="0"/>
              <w:autoSpaceDE/>
              <w:autoSpaceDN/>
              <w:bidi w:val="0"/>
              <w:adjustRightInd/>
              <w:snapToGrid/>
              <w:spacing w:before="200"/>
              <w:ind w:firstLine="420" w:firstLineChars="200"/>
              <w:textAlignment w:val="auto"/>
              <w:rPr>
                <w:rFonts w:hint="eastAsia" w:ascii="宋体" w:hAnsi="宋体" w:eastAsia="宋体"/>
                <w:bCs/>
                <w:sz w:val="21"/>
                <w:szCs w:val="21"/>
              </w:rPr>
            </w:pPr>
            <w:r>
              <w:rPr>
                <w:rFonts w:hint="eastAsia" w:ascii="宋体" w:hAnsi="宋体" w:eastAsia="宋体"/>
                <w:bCs/>
                <w:sz w:val="21"/>
                <w:szCs w:val="21"/>
              </w:rPr>
              <w:t>股权融资成本EK 必须根据资本资产定价模型（CAPM）来计算。CAPM模型就是：</w:t>
            </w:r>
          </w:p>
          <w:p w14:paraId="7121431B">
            <w:pPr>
              <w:pStyle w:val="6"/>
              <w:keepNext w:val="0"/>
              <w:keepLines w:val="0"/>
              <w:pageBreakBefore w:val="0"/>
              <w:widowControl/>
              <w:numPr>
                <w:ilvl w:val="0"/>
                <w:numId w:val="0"/>
              </w:numPr>
              <w:kinsoku/>
              <w:wordWrap/>
              <w:overflowPunct/>
              <w:topLinePunct w:val="0"/>
              <w:autoSpaceDE/>
              <w:autoSpaceDN/>
              <w:bidi w:val="0"/>
              <w:adjustRightInd/>
              <w:snapToGrid/>
              <w:spacing w:before="200"/>
              <w:ind w:firstLine="420" w:firstLineChars="200"/>
              <w:textAlignment w:val="auto"/>
              <w:rPr>
                <w:rFonts w:hint="eastAsia" w:ascii="宋体" w:hAnsi="宋体" w:eastAsia="宋体"/>
                <w:bCs/>
                <w:sz w:val="21"/>
                <w:szCs w:val="21"/>
                <w:lang w:eastAsia="zh-CN"/>
              </w:rPr>
            </w:pPr>
            <w:r>
              <w:rPr>
                <w:rFonts w:hint="eastAsia" w:ascii="宋体" w:hAnsi="宋体" w:eastAsia="宋体"/>
                <w:bCs/>
                <w:sz w:val="21"/>
                <w:szCs w:val="21"/>
                <w:lang w:eastAsia="zh-CN"/>
              </w:rPr>
              <w:drawing>
                <wp:inline distT="0" distB="0" distL="114300" distR="114300">
                  <wp:extent cx="1447800" cy="220980"/>
                  <wp:effectExtent l="0" t="0" r="0" b="7620"/>
                  <wp:docPr id="1" name="图片 3" descr="834971918e997537d8fa48abf621a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descr="834971918e997537d8fa48abf621aed"/>
                          <pic:cNvPicPr>
                            <a:picLocks noChangeAspect="1"/>
                          </pic:cNvPicPr>
                        </pic:nvPicPr>
                        <pic:blipFill>
                          <a:blip r:embed="rId10"/>
                          <a:stretch>
                            <a:fillRect/>
                          </a:stretch>
                        </pic:blipFill>
                        <pic:spPr>
                          <a:xfrm>
                            <a:off x="0" y="0"/>
                            <a:ext cx="1447800" cy="220980"/>
                          </a:xfrm>
                          <a:prstGeom prst="rect">
                            <a:avLst/>
                          </a:prstGeom>
                          <a:noFill/>
                          <a:ln>
                            <a:noFill/>
                          </a:ln>
                        </pic:spPr>
                      </pic:pic>
                    </a:graphicData>
                  </a:graphic>
                </wp:inline>
              </w:drawing>
            </w:r>
          </w:p>
          <w:p w14:paraId="1C933958">
            <w:pPr>
              <w:pStyle w:val="6"/>
              <w:keepNext w:val="0"/>
              <w:keepLines w:val="0"/>
              <w:pageBreakBefore w:val="0"/>
              <w:widowControl/>
              <w:numPr>
                <w:ilvl w:val="0"/>
                <w:numId w:val="0"/>
              </w:numPr>
              <w:kinsoku/>
              <w:wordWrap/>
              <w:overflowPunct/>
              <w:topLinePunct w:val="0"/>
              <w:autoSpaceDE/>
              <w:autoSpaceDN/>
              <w:bidi w:val="0"/>
              <w:adjustRightInd/>
              <w:snapToGrid/>
              <w:spacing w:before="200"/>
              <w:ind w:firstLine="422" w:firstLineChars="200"/>
              <w:textAlignment w:val="auto"/>
              <w:rPr>
                <w:rFonts w:hint="eastAsia" w:ascii="宋体" w:hAnsi="宋体" w:eastAsia="宋体"/>
                <w:bCs/>
                <w:sz w:val="21"/>
                <w:szCs w:val="21"/>
              </w:rPr>
            </w:pPr>
            <w:r>
              <w:rPr>
                <w:rFonts w:hint="eastAsia" w:ascii="宋体" w:hAnsi="宋体" w:eastAsia="宋体"/>
                <w:b/>
                <w:bCs w:val="0"/>
                <w:sz w:val="21"/>
                <w:szCs w:val="21"/>
              </w:rPr>
              <w:t>（四）实际计算中的若干技术性处理</w:t>
            </w:r>
          </w:p>
          <w:p w14:paraId="532FCE90">
            <w:pPr>
              <w:pStyle w:val="6"/>
              <w:keepNext w:val="0"/>
              <w:keepLines w:val="0"/>
              <w:pageBreakBefore w:val="0"/>
              <w:widowControl/>
              <w:numPr>
                <w:ilvl w:val="0"/>
                <w:numId w:val="0"/>
              </w:numPr>
              <w:kinsoku/>
              <w:wordWrap/>
              <w:overflowPunct/>
              <w:topLinePunct w:val="0"/>
              <w:autoSpaceDE/>
              <w:autoSpaceDN/>
              <w:bidi w:val="0"/>
              <w:adjustRightInd/>
              <w:snapToGrid/>
              <w:spacing w:before="200"/>
              <w:ind w:firstLine="420" w:firstLineChars="200"/>
              <w:textAlignment w:val="auto"/>
              <w:rPr>
                <w:rFonts w:hint="eastAsia" w:ascii="宋体" w:hAnsi="宋体" w:eastAsia="宋体"/>
                <w:bCs/>
                <w:sz w:val="21"/>
                <w:szCs w:val="21"/>
              </w:rPr>
            </w:pPr>
            <w:r>
              <w:rPr>
                <w:rFonts w:hint="eastAsia" w:ascii="宋体" w:hAnsi="宋体" w:eastAsia="宋体"/>
                <w:bCs/>
                <w:sz w:val="21"/>
                <w:szCs w:val="21"/>
              </w:rPr>
              <w:t>（1）无风险收益率的确定。在我国股市目前的条件下，关于无风险收益率的选择实际上并没有什么统一的标准，考虑到从上市公司角度，在实际计算中我们采用当年在上海证券交易所挂牌交易的期限最长的国债的内部收益率（折成年收益率）。</w:t>
            </w:r>
          </w:p>
          <w:p w14:paraId="37B671C9">
            <w:pPr>
              <w:pStyle w:val="6"/>
              <w:keepNext w:val="0"/>
              <w:keepLines w:val="0"/>
              <w:pageBreakBefore w:val="0"/>
              <w:widowControl/>
              <w:numPr>
                <w:ilvl w:val="0"/>
                <w:numId w:val="0"/>
              </w:numPr>
              <w:kinsoku/>
              <w:wordWrap/>
              <w:overflowPunct/>
              <w:topLinePunct w:val="0"/>
              <w:autoSpaceDE/>
              <w:autoSpaceDN/>
              <w:bidi w:val="0"/>
              <w:adjustRightInd/>
              <w:snapToGrid/>
              <w:spacing w:before="200"/>
              <w:ind w:firstLine="420" w:firstLineChars="200"/>
              <w:textAlignment w:val="auto"/>
              <w:rPr>
                <w:rFonts w:hint="eastAsia" w:ascii="宋体" w:hAnsi="宋体" w:eastAsia="宋体"/>
                <w:bCs/>
                <w:sz w:val="21"/>
                <w:szCs w:val="21"/>
              </w:rPr>
            </w:pPr>
            <w:r>
              <w:rPr>
                <w:rFonts w:hint="eastAsia" w:ascii="宋体" w:hAnsi="宋体" w:eastAsia="宋体"/>
                <w:bCs/>
                <w:sz w:val="21"/>
                <w:szCs w:val="21"/>
              </w:rPr>
              <w:t>（2）市场风险溢价的估计。在明确了无风险收益率的计算依据之后，计算市场风险溢价的关键就是如何确定股票市场的市场组合收益率，实际中我们采用自上市公司实施股权融资之后的3年时间内上证综合指数累计收益率（折成年收益率）。</w:t>
            </w:r>
          </w:p>
          <w:p w14:paraId="14E620B0">
            <w:pPr>
              <w:pStyle w:val="6"/>
              <w:keepNext w:val="0"/>
              <w:keepLines w:val="0"/>
              <w:pageBreakBefore w:val="0"/>
              <w:widowControl/>
              <w:numPr>
                <w:ilvl w:val="0"/>
                <w:numId w:val="0"/>
              </w:numPr>
              <w:kinsoku/>
              <w:wordWrap/>
              <w:overflowPunct/>
              <w:topLinePunct w:val="0"/>
              <w:autoSpaceDE/>
              <w:autoSpaceDN/>
              <w:bidi w:val="0"/>
              <w:adjustRightInd/>
              <w:snapToGrid/>
              <w:spacing w:before="200"/>
              <w:ind w:firstLine="420" w:firstLineChars="200"/>
              <w:textAlignment w:val="auto"/>
              <w:rPr>
                <w:rFonts w:hint="eastAsia" w:ascii="宋体" w:hAnsi="宋体" w:eastAsia="宋体"/>
                <w:bCs/>
                <w:szCs w:val="21"/>
              </w:rPr>
            </w:pPr>
            <w:r>
              <w:rPr>
                <w:rFonts w:hint="eastAsia" w:ascii="宋体" w:hAnsi="宋体" w:eastAsia="宋体"/>
                <w:bCs/>
                <w:sz w:val="21"/>
                <w:szCs w:val="21"/>
              </w:rPr>
              <w:t>（3）融资总成本中的上市公司总价值V的计算。由于中国上市公司的市值存在总市值和流通市值之分，而债务资本的账面值的确定也存在不确定因素，因此，直接计算上市公司总价值是有困难的，在实际计算时我们采用了总投入资本即债务融资资本与股权融资资本之和（EK + DK）代替上市公司总价值V。</w:t>
            </w:r>
          </w:p>
          <w:p w14:paraId="30A7C27D">
            <w:pPr>
              <w:pStyle w:val="6"/>
              <w:keepNext w:val="0"/>
              <w:keepLines w:val="0"/>
              <w:pageBreakBefore w:val="0"/>
              <w:widowControl/>
              <w:numPr>
                <w:ilvl w:val="0"/>
                <w:numId w:val="0"/>
              </w:numPr>
              <w:kinsoku/>
              <w:wordWrap/>
              <w:overflowPunct/>
              <w:topLinePunct w:val="0"/>
              <w:autoSpaceDE/>
              <w:autoSpaceDN/>
              <w:bidi w:val="0"/>
              <w:adjustRightInd/>
              <w:snapToGrid/>
              <w:spacing w:before="200"/>
              <w:ind w:firstLine="422" w:firstLineChars="200"/>
              <w:textAlignment w:val="auto"/>
              <w:rPr>
                <w:rFonts w:hint="eastAsia" w:ascii="宋体" w:hAnsi="宋体" w:eastAsia="宋体"/>
                <w:bCs/>
                <w:sz w:val="21"/>
                <w:szCs w:val="21"/>
              </w:rPr>
            </w:pPr>
            <w:r>
              <w:rPr>
                <w:rFonts w:hint="eastAsia" w:ascii="宋体" w:hAnsi="宋体" w:eastAsia="宋体"/>
                <w:b/>
                <w:bCs w:val="0"/>
                <w:sz w:val="21"/>
                <w:szCs w:val="21"/>
              </w:rPr>
              <w:t>（五）债务融资成本的计算</w:t>
            </w:r>
          </w:p>
          <w:p w14:paraId="0E5AD662">
            <w:pPr>
              <w:pStyle w:val="6"/>
              <w:keepNext w:val="0"/>
              <w:keepLines w:val="0"/>
              <w:pageBreakBefore w:val="0"/>
              <w:widowControl/>
              <w:numPr>
                <w:ilvl w:val="0"/>
                <w:numId w:val="0"/>
              </w:numPr>
              <w:kinsoku/>
              <w:wordWrap/>
              <w:overflowPunct/>
              <w:topLinePunct w:val="0"/>
              <w:autoSpaceDE/>
              <w:autoSpaceDN/>
              <w:bidi w:val="0"/>
              <w:adjustRightInd/>
              <w:snapToGrid/>
              <w:spacing w:before="200"/>
              <w:ind w:firstLine="420" w:firstLineChars="200"/>
              <w:textAlignment w:val="auto"/>
              <w:rPr>
                <w:rFonts w:hint="eastAsia" w:ascii="宋体" w:hAnsi="宋体" w:eastAsia="宋体"/>
                <w:bCs/>
                <w:sz w:val="21"/>
                <w:szCs w:val="21"/>
              </w:rPr>
            </w:pPr>
            <w:r>
              <w:rPr>
                <w:rFonts w:hint="eastAsia" w:ascii="宋体" w:hAnsi="宋体" w:eastAsia="宋体"/>
                <w:bCs/>
                <w:sz w:val="21"/>
                <w:szCs w:val="21"/>
              </w:rPr>
              <w:t>对上市公司来说，债务融资应该是一种通过银行或其他金融机构进行的长期债券融资，而股权融资则更应属长期融资。根据大多数上市公司募集资金所投资项目的承诺完成期限为3年左右，因此可以将债务融资和股权融资的评估期限定为3年。以D</w:t>
            </w:r>
            <w:r>
              <w:rPr>
                <w:rFonts w:hint="eastAsia" w:ascii="宋体" w:hAnsi="宋体" w:eastAsia="宋体"/>
                <w:bCs/>
                <w:sz w:val="21"/>
                <w:szCs w:val="21"/>
                <w:vertAlign w:val="subscript"/>
              </w:rPr>
              <w:t>C</w:t>
            </w:r>
            <w:r>
              <w:rPr>
                <w:rFonts w:hint="eastAsia" w:ascii="宋体" w:hAnsi="宋体" w:eastAsia="宋体"/>
                <w:bCs/>
                <w:sz w:val="21"/>
                <w:szCs w:val="21"/>
              </w:rPr>
              <w:t xml:space="preserve"> 代表债务融资成本，则D</w:t>
            </w:r>
            <w:r>
              <w:rPr>
                <w:rFonts w:hint="eastAsia" w:ascii="宋体" w:hAnsi="宋体" w:eastAsia="宋体"/>
                <w:bCs/>
                <w:sz w:val="21"/>
                <w:szCs w:val="21"/>
                <w:vertAlign w:val="subscript"/>
              </w:rPr>
              <w:t xml:space="preserve">C </w:t>
            </w:r>
            <w:r>
              <w:rPr>
                <w:rFonts w:hint="eastAsia" w:ascii="宋体" w:hAnsi="宋体" w:eastAsia="宋体"/>
                <w:bCs/>
                <w:sz w:val="21"/>
                <w:szCs w:val="21"/>
              </w:rPr>
              <w:t>可直接按照3～5年中长期银行贷款基准利率计算。</w:t>
            </w:r>
          </w:p>
          <w:p w14:paraId="3D3C36A2">
            <w:pPr>
              <w:rPr>
                <w:rFonts w:hint="eastAsia" w:ascii="宋体" w:hAnsi="宋体"/>
              </w:rPr>
            </w:pPr>
            <w:r>
              <w:rPr>
                <w:rFonts w:hint="eastAsia" w:ascii="宋体" w:hAnsi="宋体"/>
                <w:b/>
                <w:color w:val="84615D"/>
                <w:sz w:val="18"/>
              </w:rPr>
              <w:t>【学生】掌握融资成本概念</w:t>
            </w:r>
          </w:p>
        </w:tc>
        <w:tc>
          <w:tcPr>
            <w:tcW w:w="1585" w:type="dxa"/>
            <w:shd w:val="clear" w:color="auto" w:fill="FFFFFF"/>
            <w:noWrap w:val="0"/>
            <w:vAlign w:val="center"/>
          </w:tcPr>
          <w:p w14:paraId="5585CCEE">
            <w:pPr>
              <w:pStyle w:val="6"/>
              <w:ind w:firstLine="192" w:firstLineChars="100"/>
              <w:rPr>
                <w:rFonts w:hint="eastAsia" w:ascii="宋体" w:hAnsi="宋体" w:eastAsia="宋体"/>
                <w:spacing w:val="6"/>
              </w:rPr>
            </w:pPr>
          </w:p>
          <w:p w14:paraId="0EF172FC">
            <w:pPr>
              <w:pStyle w:val="6"/>
              <w:ind w:firstLine="192" w:firstLineChars="100"/>
              <w:rPr>
                <w:rFonts w:hint="eastAsia" w:ascii="宋体" w:hAnsi="宋体" w:eastAsia="宋体"/>
                <w:spacing w:val="6"/>
              </w:rPr>
            </w:pPr>
          </w:p>
          <w:p w14:paraId="596C5A7D">
            <w:pPr>
              <w:pStyle w:val="6"/>
              <w:ind w:firstLine="192" w:firstLineChars="100"/>
              <w:rPr>
                <w:rFonts w:hint="eastAsia" w:ascii="宋体" w:hAnsi="宋体" w:eastAsia="宋体"/>
                <w:spacing w:val="6"/>
              </w:rPr>
            </w:pPr>
          </w:p>
          <w:p w14:paraId="231EB0B9">
            <w:pPr>
              <w:pStyle w:val="6"/>
              <w:ind w:firstLine="192" w:firstLineChars="100"/>
              <w:rPr>
                <w:rFonts w:hint="eastAsia" w:ascii="宋体" w:hAnsi="宋体" w:eastAsia="宋体"/>
                <w:spacing w:val="6"/>
              </w:rPr>
            </w:pPr>
          </w:p>
          <w:p w14:paraId="497C3F15">
            <w:pPr>
              <w:pStyle w:val="6"/>
              <w:ind w:firstLine="192" w:firstLineChars="100"/>
              <w:rPr>
                <w:rFonts w:hint="eastAsia" w:ascii="宋体" w:hAnsi="宋体" w:eastAsia="宋体"/>
                <w:spacing w:val="6"/>
              </w:rPr>
            </w:pPr>
          </w:p>
          <w:p w14:paraId="54EF2456">
            <w:pPr>
              <w:pStyle w:val="6"/>
              <w:ind w:firstLine="192" w:firstLineChars="100"/>
              <w:rPr>
                <w:rFonts w:hint="eastAsia" w:ascii="宋体" w:hAnsi="宋体" w:eastAsia="宋体"/>
                <w:spacing w:val="6"/>
              </w:rPr>
            </w:pPr>
          </w:p>
          <w:p w14:paraId="3E23BBF4">
            <w:pPr>
              <w:pStyle w:val="6"/>
              <w:ind w:firstLine="192" w:firstLineChars="100"/>
              <w:rPr>
                <w:rFonts w:hint="eastAsia" w:ascii="宋体" w:hAnsi="宋体" w:eastAsia="宋体"/>
                <w:spacing w:val="6"/>
              </w:rPr>
            </w:pPr>
          </w:p>
          <w:p w14:paraId="00E5D96D">
            <w:pPr>
              <w:pStyle w:val="6"/>
              <w:ind w:firstLine="192" w:firstLineChars="100"/>
              <w:rPr>
                <w:rFonts w:hint="eastAsia" w:ascii="宋体" w:hAnsi="宋体" w:eastAsia="宋体"/>
                <w:spacing w:val="6"/>
              </w:rPr>
            </w:pPr>
          </w:p>
          <w:p w14:paraId="1707E468">
            <w:pPr>
              <w:pStyle w:val="6"/>
              <w:ind w:firstLine="192" w:firstLineChars="100"/>
              <w:rPr>
                <w:rFonts w:hint="eastAsia" w:ascii="宋体" w:hAnsi="宋体" w:eastAsia="宋体"/>
                <w:spacing w:val="6"/>
              </w:rPr>
            </w:pPr>
          </w:p>
          <w:p w14:paraId="3305BC4E">
            <w:pPr>
              <w:pStyle w:val="6"/>
              <w:ind w:firstLine="192" w:firstLineChars="100"/>
              <w:rPr>
                <w:rFonts w:hint="eastAsia" w:ascii="宋体" w:hAnsi="宋体" w:eastAsia="宋体"/>
                <w:spacing w:val="6"/>
              </w:rPr>
            </w:pPr>
          </w:p>
          <w:p w14:paraId="154900BD">
            <w:pPr>
              <w:pStyle w:val="6"/>
              <w:ind w:firstLine="192" w:firstLineChars="100"/>
              <w:rPr>
                <w:rFonts w:hint="eastAsia" w:ascii="宋体" w:hAnsi="宋体" w:eastAsia="宋体"/>
                <w:spacing w:val="6"/>
              </w:rPr>
            </w:pPr>
          </w:p>
          <w:p w14:paraId="3C6D6B89">
            <w:pPr>
              <w:pStyle w:val="6"/>
              <w:ind w:firstLine="192" w:firstLineChars="100"/>
              <w:rPr>
                <w:rFonts w:hint="eastAsia" w:ascii="宋体" w:hAnsi="宋体" w:eastAsia="宋体"/>
                <w:spacing w:val="6"/>
              </w:rPr>
            </w:pPr>
          </w:p>
          <w:p w14:paraId="2CE0C81F">
            <w:pPr>
              <w:pStyle w:val="6"/>
              <w:ind w:firstLine="192" w:firstLineChars="100"/>
              <w:rPr>
                <w:rFonts w:hint="eastAsia" w:ascii="宋体" w:hAnsi="宋体" w:eastAsia="宋体"/>
                <w:spacing w:val="6"/>
              </w:rPr>
            </w:pPr>
          </w:p>
          <w:p w14:paraId="19C015F9">
            <w:pPr>
              <w:pStyle w:val="6"/>
              <w:ind w:firstLine="192" w:firstLineChars="100"/>
              <w:rPr>
                <w:rFonts w:hint="eastAsia" w:ascii="宋体" w:hAnsi="宋体" w:eastAsia="宋体"/>
                <w:spacing w:val="6"/>
              </w:rPr>
            </w:pPr>
          </w:p>
          <w:p w14:paraId="36C7C042">
            <w:pPr>
              <w:pStyle w:val="6"/>
              <w:ind w:firstLine="192" w:firstLineChars="100"/>
              <w:rPr>
                <w:rFonts w:hint="eastAsia" w:ascii="宋体" w:hAnsi="宋体" w:eastAsia="宋体"/>
                <w:spacing w:val="6"/>
              </w:rPr>
            </w:pPr>
          </w:p>
          <w:p w14:paraId="116DAD6D">
            <w:pPr>
              <w:pStyle w:val="6"/>
              <w:ind w:firstLine="192" w:firstLineChars="100"/>
              <w:rPr>
                <w:rFonts w:hint="eastAsia" w:ascii="宋体" w:hAnsi="宋体" w:eastAsia="宋体"/>
                <w:spacing w:val="6"/>
              </w:rPr>
            </w:pPr>
          </w:p>
          <w:p w14:paraId="5051F9E9">
            <w:pPr>
              <w:pStyle w:val="6"/>
              <w:ind w:firstLine="192" w:firstLineChars="100"/>
              <w:rPr>
                <w:rFonts w:hint="eastAsia" w:ascii="宋体" w:hAnsi="宋体" w:eastAsia="宋体"/>
                <w:spacing w:val="6"/>
              </w:rPr>
            </w:pPr>
          </w:p>
          <w:p w14:paraId="60B04044">
            <w:pPr>
              <w:pStyle w:val="6"/>
              <w:ind w:firstLine="192" w:firstLineChars="100"/>
              <w:rPr>
                <w:rFonts w:hint="eastAsia" w:ascii="宋体" w:hAnsi="宋体" w:eastAsia="宋体"/>
                <w:spacing w:val="6"/>
              </w:rPr>
            </w:pPr>
          </w:p>
          <w:p w14:paraId="680A1F50">
            <w:pPr>
              <w:pStyle w:val="6"/>
              <w:ind w:firstLine="192" w:firstLineChars="100"/>
              <w:rPr>
                <w:rFonts w:hint="eastAsia" w:ascii="宋体" w:hAnsi="宋体" w:eastAsia="宋体"/>
                <w:spacing w:val="6"/>
              </w:rPr>
            </w:pPr>
          </w:p>
          <w:p w14:paraId="531F854A">
            <w:pPr>
              <w:pStyle w:val="6"/>
              <w:ind w:firstLine="192" w:firstLineChars="100"/>
              <w:rPr>
                <w:rFonts w:hint="eastAsia" w:ascii="宋体" w:hAnsi="宋体" w:eastAsia="宋体"/>
                <w:spacing w:val="6"/>
              </w:rPr>
            </w:pPr>
          </w:p>
          <w:p w14:paraId="124E3AA4">
            <w:pPr>
              <w:pStyle w:val="6"/>
              <w:ind w:firstLine="192" w:firstLineChars="100"/>
              <w:rPr>
                <w:rFonts w:hint="eastAsia" w:ascii="宋体" w:hAnsi="宋体" w:eastAsia="宋体"/>
                <w:spacing w:val="6"/>
              </w:rPr>
            </w:pPr>
          </w:p>
          <w:p w14:paraId="26C64703">
            <w:pPr>
              <w:pStyle w:val="6"/>
              <w:ind w:firstLine="192" w:firstLineChars="100"/>
              <w:rPr>
                <w:rFonts w:hint="eastAsia" w:ascii="宋体" w:hAnsi="宋体" w:eastAsia="宋体"/>
                <w:spacing w:val="6"/>
              </w:rPr>
            </w:pPr>
          </w:p>
          <w:p w14:paraId="29D14D90">
            <w:pPr>
              <w:pStyle w:val="6"/>
              <w:ind w:firstLine="192" w:firstLineChars="100"/>
              <w:rPr>
                <w:rFonts w:hint="eastAsia" w:ascii="宋体" w:hAnsi="宋体" w:eastAsia="宋体"/>
                <w:spacing w:val="6"/>
              </w:rPr>
            </w:pPr>
          </w:p>
          <w:p w14:paraId="16D26922">
            <w:pPr>
              <w:pStyle w:val="6"/>
              <w:ind w:firstLine="192" w:firstLineChars="100"/>
              <w:rPr>
                <w:rFonts w:hint="eastAsia" w:ascii="宋体" w:hAnsi="宋体" w:eastAsia="宋体"/>
                <w:spacing w:val="6"/>
              </w:rPr>
            </w:pPr>
            <w:r>
              <w:rPr>
                <w:rFonts w:hint="eastAsia" w:ascii="宋体" w:hAnsi="宋体" w:eastAsia="宋体"/>
                <w:spacing w:val="6"/>
              </w:rPr>
              <w:t>学习融资成本，同时融资成本的计算。边做边讲，及时巩固练习，实现教学做一体化</w:t>
            </w:r>
          </w:p>
        </w:tc>
      </w:tr>
      <w:tr w14:paraId="3B681901">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567" w:hRule="atLeast"/>
          <w:jc w:val="center"/>
        </w:trPr>
        <w:tc>
          <w:tcPr>
            <w:tcW w:w="1389" w:type="dxa"/>
            <w:shd w:val="clear" w:color="auto" w:fill="E6F1EB"/>
            <w:noWrap w:val="0"/>
            <w:vAlign w:val="center"/>
          </w:tcPr>
          <w:p w14:paraId="74B7B302">
            <w:pPr>
              <w:pStyle w:val="6"/>
              <w:jc w:val="center"/>
              <w:rPr>
                <w:rFonts w:hint="eastAsia" w:ascii="宋体" w:hAnsi="宋体" w:eastAsia="宋体"/>
              </w:rPr>
            </w:pPr>
            <w:r>
              <w:rPr>
                <w:rFonts w:hint="eastAsia" w:ascii="宋体" w:hAnsi="宋体" w:eastAsia="宋体"/>
                <w:b/>
              </w:rPr>
              <w:t>课堂测验</w:t>
            </w:r>
            <w:r>
              <w:rPr>
                <w:rFonts w:ascii="宋体" w:hAnsi="宋体" w:eastAsia="宋体"/>
                <w:b/>
              </w:rPr>
              <w:br w:type="textWrapping"/>
            </w:r>
            <w:r>
              <w:rPr>
                <w:rFonts w:hint="eastAsia" w:ascii="宋体" w:hAnsi="宋体" w:eastAsia="宋体"/>
                <w:b/>
              </w:rPr>
              <w:t>（</w:t>
            </w:r>
            <w:r>
              <w:rPr>
                <w:rFonts w:ascii="宋体" w:hAnsi="宋体" w:eastAsia="宋体"/>
                <w:b/>
              </w:rPr>
              <w:t>10</w:t>
            </w:r>
            <w:r>
              <w:rPr>
                <w:rFonts w:hint="eastAsia" w:ascii="宋体" w:hAnsi="宋体" w:eastAsia="宋体"/>
                <w:b/>
              </w:rPr>
              <w:t>min）</w:t>
            </w:r>
          </w:p>
        </w:tc>
        <w:tc>
          <w:tcPr>
            <w:tcW w:w="5472" w:type="dxa"/>
            <w:shd w:val="clear" w:color="auto" w:fill="FFFFFF"/>
            <w:noWrap w:val="0"/>
            <w:vAlign w:val="center"/>
          </w:tcPr>
          <w:p w14:paraId="054F44C7">
            <w:pPr>
              <w:pStyle w:val="6"/>
              <w:spacing w:before="160" w:after="120"/>
              <w:rPr>
                <w:rFonts w:hint="eastAsia" w:ascii="宋体" w:hAnsi="宋体" w:eastAsia="宋体"/>
                <w:b/>
                <w:color w:val="5D8979"/>
              </w:rPr>
            </w:pPr>
            <w:r>
              <w:rPr>
                <w:rFonts w:hint="eastAsia" w:ascii="宋体" w:hAnsi="宋体" w:eastAsia="宋体"/>
                <w:b/>
                <w:color w:val="5D8979"/>
              </w:rPr>
              <w:t>【教师】</w:t>
            </w:r>
            <w:r>
              <w:rPr>
                <w:rFonts w:hint="eastAsia" w:ascii="宋体" w:hAnsi="宋体" w:eastAsia="宋体"/>
                <w:b/>
                <w:color w:val="5D8979"/>
                <w:lang w:eastAsia="zh-CN"/>
              </w:rPr>
              <w:t>融资成本概念</w:t>
            </w:r>
          </w:p>
          <w:p w14:paraId="209B83F2">
            <w:pPr>
              <w:pStyle w:val="6"/>
              <w:numPr>
                <w:ilvl w:val="0"/>
                <w:numId w:val="0"/>
              </w:numPr>
              <w:spacing w:before="140" w:after="120"/>
              <w:rPr>
                <w:rFonts w:hint="eastAsia" w:ascii="宋体" w:hAnsi="宋体" w:eastAsia="宋体"/>
                <w:color w:val="84615D"/>
              </w:rPr>
            </w:pPr>
            <w:r>
              <w:rPr>
                <w:rFonts w:hint="eastAsia" w:ascii="宋体" w:hAnsi="宋体" w:eastAsia="宋体"/>
                <w:b/>
                <w:color w:val="84615D"/>
              </w:rPr>
              <w:t>【学生】做测试题目</w:t>
            </w:r>
          </w:p>
        </w:tc>
        <w:tc>
          <w:tcPr>
            <w:tcW w:w="1585" w:type="dxa"/>
            <w:shd w:val="clear" w:color="auto" w:fill="FFFFFF"/>
            <w:noWrap w:val="0"/>
            <w:vAlign w:val="center"/>
          </w:tcPr>
          <w:p w14:paraId="0209EC4A">
            <w:pPr>
              <w:pStyle w:val="6"/>
              <w:ind w:firstLine="180" w:firstLineChars="100"/>
              <w:rPr>
                <w:rFonts w:hint="eastAsia" w:ascii="宋体" w:hAnsi="宋体" w:eastAsia="宋体"/>
              </w:rPr>
            </w:pPr>
            <w:r>
              <w:rPr>
                <w:rFonts w:hint="eastAsia" w:ascii="宋体" w:hAnsi="宋体" w:eastAsia="宋体"/>
              </w:rPr>
              <w:t>通过测试，了解学生对知识点的掌握情况，加深学生对本节课知识的印象</w:t>
            </w:r>
          </w:p>
        </w:tc>
      </w:tr>
      <w:tr w14:paraId="191B81A8">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567" w:hRule="atLeast"/>
          <w:jc w:val="center"/>
        </w:trPr>
        <w:tc>
          <w:tcPr>
            <w:tcW w:w="1389" w:type="dxa"/>
            <w:shd w:val="clear" w:color="auto" w:fill="F5F5E1"/>
            <w:noWrap w:val="0"/>
            <w:vAlign w:val="center"/>
          </w:tcPr>
          <w:p w14:paraId="53607CFE">
            <w:pPr>
              <w:pStyle w:val="6"/>
              <w:jc w:val="center"/>
              <w:rPr>
                <w:rFonts w:hint="eastAsia" w:ascii="宋体" w:hAnsi="宋体" w:eastAsia="宋体"/>
              </w:rPr>
            </w:pPr>
            <w:r>
              <w:rPr>
                <w:rFonts w:hint="eastAsia" w:ascii="宋体" w:hAnsi="宋体" w:eastAsia="宋体"/>
                <w:b/>
              </w:rPr>
              <w:t>课堂小结</w:t>
            </w:r>
            <w:r>
              <w:rPr>
                <w:rFonts w:ascii="宋体" w:hAnsi="宋体" w:eastAsia="宋体"/>
                <w:b/>
              </w:rPr>
              <w:br w:type="textWrapping"/>
            </w:r>
            <w:r>
              <w:rPr>
                <w:rFonts w:hint="eastAsia" w:ascii="宋体" w:hAnsi="宋体" w:eastAsia="宋体"/>
                <w:b/>
              </w:rPr>
              <w:t>（</w:t>
            </w:r>
            <w:r>
              <w:rPr>
                <w:rFonts w:ascii="宋体" w:hAnsi="宋体" w:eastAsia="宋体"/>
                <w:b/>
              </w:rPr>
              <w:t>5</w:t>
            </w:r>
            <w:r>
              <w:rPr>
                <w:rFonts w:hint="eastAsia" w:ascii="宋体" w:hAnsi="宋体" w:eastAsia="宋体"/>
                <w:b/>
              </w:rPr>
              <w:t>min）</w:t>
            </w:r>
          </w:p>
        </w:tc>
        <w:tc>
          <w:tcPr>
            <w:tcW w:w="5472" w:type="dxa"/>
            <w:shd w:val="clear" w:color="auto" w:fill="FFFFFF"/>
            <w:noWrap w:val="0"/>
            <w:vAlign w:val="center"/>
          </w:tcPr>
          <w:p w14:paraId="62E34389">
            <w:pPr>
              <w:pStyle w:val="6"/>
              <w:spacing w:before="160" w:after="120"/>
              <w:rPr>
                <w:rFonts w:hint="eastAsia" w:ascii="宋体" w:hAnsi="宋体" w:eastAsia="宋体"/>
                <w:b/>
                <w:color w:val="5D8979"/>
              </w:rPr>
            </w:pPr>
            <w:r>
              <w:rPr>
                <w:rFonts w:hint="eastAsia" w:ascii="宋体" w:hAnsi="宋体" w:eastAsia="宋体"/>
                <w:b/>
                <w:color w:val="5D8979"/>
              </w:rPr>
              <w:t>【教师】简要总结本节课的要点</w:t>
            </w:r>
          </w:p>
          <w:p w14:paraId="7499B018">
            <w:pPr>
              <w:pStyle w:val="6"/>
              <w:keepNext w:val="0"/>
              <w:keepLines w:val="0"/>
              <w:pageBreakBefore w:val="0"/>
              <w:widowControl/>
              <w:kinsoku/>
              <w:wordWrap/>
              <w:overflowPunct/>
              <w:topLinePunct w:val="0"/>
              <w:autoSpaceDE/>
              <w:autoSpaceDN/>
              <w:bidi w:val="0"/>
              <w:adjustRightInd/>
              <w:snapToGrid/>
              <w:spacing w:before="160" w:after="120"/>
              <w:ind w:firstLine="360" w:firstLineChars="200"/>
              <w:textAlignment w:val="auto"/>
              <w:rPr>
                <w:rFonts w:hint="eastAsia" w:ascii="宋体" w:hAnsi="宋体" w:eastAsia="宋体"/>
                <w:bCs/>
                <w:lang w:eastAsia="zh-CN"/>
              </w:rPr>
            </w:pPr>
            <w:r>
              <w:rPr>
                <w:rFonts w:hint="eastAsia" w:ascii="宋体" w:hAnsi="宋体" w:eastAsia="宋体"/>
                <w:bCs/>
              </w:rPr>
              <w:t>本节课上大家掌握了缓解就业形势的主要对策，课后要多加</w:t>
            </w:r>
            <w:r>
              <w:rPr>
                <w:rFonts w:hint="eastAsia" w:ascii="宋体" w:hAnsi="宋体" w:eastAsia="宋体"/>
                <w:bCs/>
                <w:lang w:eastAsia="zh-CN"/>
              </w:rPr>
              <w:t>记忆</w:t>
            </w:r>
            <w:r>
              <w:rPr>
                <w:rFonts w:hint="eastAsia" w:ascii="宋体" w:hAnsi="宋体" w:eastAsia="宋体"/>
                <w:bCs/>
              </w:rPr>
              <w:t>。面对当前的就业形势和中长期发展趋势，中国的经济政策和社会政策应该以促进经济发展和增加就业为基本战略目标进行适当调整</w:t>
            </w:r>
            <w:r>
              <w:rPr>
                <w:rFonts w:hint="eastAsia" w:ascii="宋体" w:hAnsi="宋体" w:eastAsia="宋体"/>
                <w:bCs/>
                <w:lang w:eastAsia="zh-CN"/>
              </w:rPr>
              <w:t>。</w:t>
            </w:r>
          </w:p>
          <w:p w14:paraId="31A8BC76">
            <w:pPr>
              <w:pStyle w:val="6"/>
              <w:keepNext w:val="0"/>
              <w:keepLines w:val="0"/>
              <w:pageBreakBefore w:val="0"/>
              <w:widowControl/>
              <w:numPr>
                <w:ilvl w:val="0"/>
                <w:numId w:val="0"/>
              </w:numPr>
              <w:kinsoku/>
              <w:wordWrap/>
              <w:overflowPunct/>
              <w:topLinePunct w:val="0"/>
              <w:autoSpaceDE/>
              <w:autoSpaceDN/>
              <w:bidi w:val="0"/>
              <w:adjustRightInd/>
              <w:snapToGrid/>
              <w:spacing w:before="80" w:after="120"/>
              <w:textAlignment w:val="auto"/>
              <w:rPr>
                <w:rFonts w:hint="eastAsia" w:ascii="宋体" w:hAnsi="宋体" w:eastAsia="宋体"/>
                <w:b/>
                <w:color w:val="84615D"/>
              </w:rPr>
            </w:pPr>
            <w:r>
              <w:rPr>
                <w:rFonts w:hint="eastAsia" w:ascii="宋体" w:hAnsi="宋体" w:eastAsia="宋体"/>
                <w:b/>
                <w:color w:val="84615D"/>
              </w:rPr>
              <w:t>【学生】总结回顾知识点</w:t>
            </w:r>
          </w:p>
        </w:tc>
        <w:tc>
          <w:tcPr>
            <w:tcW w:w="1585" w:type="dxa"/>
            <w:shd w:val="clear" w:color="auto" w:fill="FFFFFF"/>
            <w:noWrap w:val="0"/>
            <w:vAlign w:val="center"/>
          </w:tcPr>
          <w:p w14:paraId="22C01DCB">
            <w:pPr>
              <w:pStyle w:val="6"/>
              <w:ind w:firstLine="180" w:firstLineChars="100"/>
              <w:rPr>
                <w:rFonts w:hint="eastAsia" w:ascii="宋体" w:hAnsi="宋体" w:eastAsia="宋体"/>
              </w:rPr>
            </w:pPr>
            <w:r>
              <w:rPr>
                <w:rFonts w:hint="eastAsia" w:ascii="宋体" w:hAnsi="宋体" w:eastAsia="宋体"/>
              </w:rPr>
              <w:t>总结知识点，巩固印象</w:t>
            </w:r>
          </w:p>
        </w:tc>
      </w:tr>
      <w:tr w14:paraId="6DA9981C">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567" w:hRule="atLeast"/>
          <w:jc w:val="center"/>
        </w:trPr>
        <w:tc>
          <w:tcPr>
            <w:tcW w:w="1389" w:type="dxa"/>
            <w:shd w:val="clear" w:color="auto" w:fill="F5F5E1"/>
            <w:noWrap w:val="0"/>
            <w:vAlign w:val="center"/>
          </w:tcPr>
          <w:p w14:paraId="582F60D9">
            <w:pPr>
              <w:pStyle w:val="6"/>
              <w:jc w:val="center"/>
              <w:rPr>
                <w:rFonts w:hint="eastAsia" w:ascii="宋体" w:hAnsi="宋体" w:eastAsia="宋体" w:cs="Times New Roman"/>
                <w:b/>
              </w:rPr>
            </w:pPr>
          </w:p>
          <w:p w14:paraId="66FB8677">
            <w:pPr>
              <w:pStyle w:val="6"/>
              <w:jc w:val="center"/>
              <w:rPr>
                <w:rFonts w:hint="eastAsia" w:ascii="宋体" w:hAnsi="宋体" w:eastAsia="宋体" w:cs="Times New Roman"/>
                <w:b/>
              </w:rPr>
            </w:pPr>
          </w:p>
          <w:p w14:paraId="47367E2E">
            <w:pPr>
              <w:pStyle w:val="6"/>
              <w:jc w:val="center"/>
              <w:rPr>
                <w:rFonts w:hint="eastAsia" w:ascii="宋体" w:hAnsi="宋体" w:eastAsia="宋体" w:cs="Times New Roman"/>
                <w:b/>
              </w:rPr>
            </w:pPr>
          </w:p>
          <w:p w14:paraId="54AAAC13">
            <w:pPr>
              <w:pStyle w:val="6"/>
              <w:jc w:val="center"/>
              <w:rPr>
                <w:rFonts w:hint="eastAsia" w:ascii="宋体" w:hAnsi="宋体" w:eastAsia="宋体" w:cs="Times New Roman"/>
                <w:b/>
              </w:rPr>
            </w:pPr>
          </w:p>
          <w:p w14:paraId="6B1B187F">
            <w:pPr>
              <w:pStyle w:val="6"/>
              <w:jc w:val="center"/>
              <w:rPr>
                <w:rFonts w:hint="eastAsia" w:ascii="宋体" w:hAnsi="宋体" w:eastAsia="宋体" w:cs="Times New Roman"/>
                <w:b/>
              </w:rPr>
            </w:pPr>
          </w:p>
          <w:p w14:paraId="34675D7E">
            <w:pPr>
              <w:pStyle w:val="6"/>
              <w:jc w:val="center"/>
              <w:rPr>
                <w:rFonts w:hint="eastAsia" w:ascii="宋体" w:hAnsi="宋体" w:eastAsia="宋体" w:cs="Times New Roman"/>
                <w:b/>
              </w:rPr>
            </w:pPr>
          </w:p>
          <w:p w14:paraId="49F2A0B9">
            <w:pPr>
              <w:pStyle w:val="6"/>
              <w:jc w:val="center"/>
              <w:rPr>
                <w:rFonts w:hint="eastAsia" w:ascii="宋体" w:hAnsi="宋体" w:eastAsia="宋体" w:cs="Times New Roman"/>
                <w:b/>
              </w:rPr>
            </w:pPr>
          </w:p>
          <w:p w14:paraId="34898406">
            <w:pPr>
              <w:pStyle w:val="6"/>
              <w:jc w:val="center"/>
              <w:rPr>
                <w:rFonts w:hint="eastAsia" w:ascii="宋体" w:hAnsi="宋体" w:eastAsia="宋体" w:cs="Times New Roman"/>
                <w:b/>
              </w:rPr>
            </w:pPr>
          </w:p>
          <w:p w14:paraId="47319AE0">
            <w:pPr>
              <w:pStyle w:val="6"/>
              <w:jc w:val="center"/>
              <w:rPr>
                <w:rFonts w:hint="eastAsia" w:ascii="宋体" w:hAnsi="宋体" w:eastAsia="宋体" w:cs="Times New Roman"/>
                <w:b/>
              </w:rPr>
            </w:pPr>
          </w:p>
          <w:p w14:paraId="512DD148">
            <w:pPr>
              <w:pStyle w:val="6"/>
              <w:jc w:val="center"/>
              <w:rPr>
                <w:rFonts w:hint="eastAsia" w:ascii="宋体" w:hAnsi="宋体" w:eastAsia="宋体" w:cs="Times New Roman"/>
                <w:b/>
              </w:rPr>
            </w:pPr>
          </w:p>
          <w:p w14:paraId="544B9282">
            <w:pPr>
              <w:pStyle w:val="6"/>
              <w:jc w:val="center"/>
              <w:rPr>
                <w:rFonts w:hint="eastAsia" w:ascii="宋体" w:hAnsi="宋体" w:eastAsia="宋体" w:cs="Times New Roman"/>
                <w:b/>
              </w:rPr>
            </w:pPr>
          </w:p>
          <w:p w14:paraId="0D23C079">
            <w:pPr>
              <w:pStyle w:val="6"/>
              <w:jc w:val="center"/>
              <w:rPr>
                <w:rFonts w:hint="eastAsia" w:ascii="宋体" w:hAnsi="宋体" w:eastAsia="宋体" w:cs="Times New Roman"/>
                <w:b/>
              </w:rPr>
            </w:pPr>
          </w:p>
          <w:p w14:paraId="578693D2">
            <w:pPr>
              <w:pStyle w:val="6"/>
              <w:jc w:val="center"/>
              <w:rPr>
                <w:rFonts w:hint="eastAsia" w:ascii="宋体" w:hAnsi="宋体" w:eastAsia="宋体" w:cs="Times New Roman"/>
                <w:b/>
              </w:rPr>
            </w:pPr>
          </w:p>
          <w:p w14:paraId="350CD4C8">
            <w:pPr>
              <w:pStyle w:val="6"/>
              <w:jc w:val="center"/>
              <w:rPr>
                <w:rFonts w:hint="eastAsia" w:ascii="宋体" w:hAnsi="宋体" w:eastAsia="宋体" w:cs="Times New Roman"/>
                <w:b/>
              </w:rPr>
            </w:pPr>
          </w:p>
          <w:p w14:paraId="626C4345">
            <w:pPr>
              <w:pStyle w:val="6"/>
              <w:jc w:val="center"/>
              <w:rPr>
                <w:rFonts w:hint="eastAsia" w:ascii="宋体" w:hAnsi="宋体" w:eastAsia="宋体" w:cs="Times New Roman"/>
                <w:b/>
              </w:rPr>
            </w:pPr>
          </w:p>
          <w:p w14:paraId="5F6A7D65">
            <w:pPr>
              <w:pStyle w:val="6"/>
              <w:jc w:val="center"/>
              <w:rPr>
                <w:rFonts w:hint="eastAsia" w:ascii="宋体" w:hAnsi="宋体" w:eastAsia="宋体" w:cs="Times New Roman"/>
                <w:b/>
              </w:rPr>
            </w:pPr>
          </w:p>
          <w:p w14:paraId="6ADA8EBC">
            <w:pPr>
              <w:pStyle w:val="6"/>
              <w:jc w:val="center"/>
              <w:rPr>
                <w:rFonts w:hint="eastAsia" w:ascii="宋体" w:hAnsi="宋体" w:eastAsia="宋体" w:cs="Times New Roman"/>
              </w:rPr>
            </w:pPr>
            <w:r>
              <w:rPr>
                <w:rFonts w:hint="eastAsia" w:ascii="宋体" w:hAnsi="宋体" w:eastAsia="宋体" w:cs="Times New Roman"/>
                <w:b/>
              </w:rPr>
              <w:t>知识讲解</w:t>
            </w:r>
            <w:r>
              <w:rPr>
                <w:rFonts w:ascii="宋体" w:hAnsi="宋体" w:eastAsia="宋体" w:cs="Times New Roman"/>
                <w:b/>
              </w:rPr>
              <w:br w:type="textWrapping"/>
            </w:r>
            <w:r>
              <w:rPr>
                <w:rFonts w:hint="eastAsia" w:ascii="宋体" w:hAnsi="宋体" w:eastAsia="宋体" w:cs="Times New Roman"/>
                <w:b/>
              </w:rPr>
              <w:t>（</w:t>
            </w:r>
            <w:r>
              <w:rPr>
                <w:rFonts w:ascii="宋体" w:hAnsi="宋体" w:eastAsia="宋体" w:cs="Times New Roman"/>
                <w:b/>
              </w:rPr>
              <w:t>3</w:t>
            </w:r>
            <w:r>
              <w:rPr>
                <w:rFonts w:hint="eastAsia" w:ascii="宋体" w:hAnsi="宋体" w:eastAsia="宋体" w:cs="Times New Roman"/>
                <w:b/>
                <w:lang w:val="en-US" w:eastAsia="zh-CN"/>
              </w:rPr>
              <w:t>5</w:t>
            </w:r>
            <w:r>
              <w:rPr>
                <w:rFonts w:ascii="宋体" w:hAnsi="宋体" w:eastAsia="宋体" w:cs="Times New Roman"/>
                <w:b/>
              </w:rPr>
              <w:t xml:space="preserve"> </w:t>
            </w:r>
            <w:r>
              <w:rPr>
                <w:rFonts w:hint="eastAsia" w:ascii="宋体" w:hAnsi="宋体" w:eastAsia="宋体" w:cs="Times New Roman"/>
                <w:b/>
              </w:rPr>
              <w:t>min）</w:t>
            </w:r>
          </w:p>
        </w:tc>
        <w:tc>
          <w:tcPr>
            <w:tcW w:w="5472" w:type="dxa"/>
            <w:shd w:val="clear" w:color="auto" w:fill="FFFFFF"/>
            <w:noWrap w:val="0"/>
            <w:vAlign w:val="center"/>
          </w:tcPr>
          <w:p w14:paraId="0105AF06">
            <w:pPr>
              <w:pStyle w:val="6"/>
              <w:numPr>
                <w:ilvl w:val="0"/>
                <w:numId w:val="0"/>
              </w:numPr>
              <w:spacing w:before="120" w:after="60"/>
              <w:rPr>
                <w:rFonts w:hint="eastAsia" w:ascii="宋体" w:hAnsi="宋体" w:eastAsia="宋体" w:cs="Times New Roman"/>
                <w:b/>
                <w:color w:val="5D8979"/>
              </w:rPr>
            </w:pPr>
            <w:r>
              <w:rPr>
                <w:rFonts w:hint="eastAsia" w:ascii="宋体" w:hAnsi="宋体" w:eastAsia="宋体" w:cs="Times New Roman"/>
                <w:b/>
                <w:color w:val="5D8979"/>
              </w:rPr>
              <w:t>【教师】</w:t>
            </w:r>
            <w:r>
              <w:rPr>
                <w:rFonts w:hint="eastAsia" w:ascii="宋体" w:hAnsi="宋体" w:eastAsia="宋体" w:cs="Times New Roman"/>
                <w:b/>
                <w:color w:val="5D8979"/>
                <w:lang w:val="en-US" w:eastAsia="zh-CN"/>
              </w:rPr>
              <w:t>讲解</w:t>
            </w:r>
            <w:r>
              <w:rPr>
                <w:rFonts w:hint="eastAsia" w:ascii="宋体" w:hAnsi="宋体" w:eastAsia="宋体" w:cs="Times New Roman"/>
                <w:b/>
                <w:color w:val="5D8979"/>
              </w:rPr>
              <w:t>创业企业融资流程及主要内容</w:t>
            </w:r>
          </w:p>
          <w:p w14:paraId="340EC557">
            <w:pPr>
              <w:keepNext w:val="0"/>
              <w:keepLines w:val="0"/>
              <w:pageBreakBefore w:val="0"/>
              <w:widowControl/>
              <w:kinsoku/>
              <w:wordWrap/>
              <w:overflowPunct/>
              <w:topLinePunct w:val="0"/>
              <w:autoSpaceDE/>
              <w:autoSpaceDN/>
              <w:bidi w:val="0"/>
              <w:adjustRightInd/>
              <w:snapToGrid/>
              <w:spacing w:line="240" w:lineRule="auto"/>
              <w:ind w:firstLine="420" w:firstLineChars="200"/>
              <w:textAlignment w:val="auto"/>
              <w:rPr>
                <w:rFonts w:hint="eastAsia" w:ascii="宋体" w:hAnsi="宋体" w:eastAsia="宋体" w:cs="Times New Roman"/>
                <w:bCs/>
                <w:sz w:val="21"/>
                <w:szCs w:val="21"/>
              </w:rPr>
            </w:pPr>
            <w:r>
              <w:rPr>
                <w:rFonts w:hint="eastAsia" w:ascii="宋体" w:hAnsi="宋体" w:eastAsia="宋体" w:cs="Times New Roman"/>
                <w:bCs/>
                <w:sz w:val="21"/>
                <w:szCs w:val="21"/>
              </w:rPr>
              <w:t>融资对创业企业来说无疑十分重要，创业公司在融资过程中需要了解并准备哪些东西，首次创业者可能会遇到各种各样的问题，以下给大家分享一下创业公司融资的基本流程，虽然可能不适用于所有的创业公司，但有些是值得借鉴的。</w:t>
            </w:r>
          </w:p>
          <w:p w14:paraId="5584C481">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Times New Roman"/>
                <w:bCs/>
                <w:color w:val="E4007F"/>
                <w:sz w:val="21"/>
                <w:szCs w:val="21"/>
              </w:rPr>
            </w:pPr>
            <w:r>
              <w:rPr>
                <w:rFonts w:hint="eastAsia" w:ascii="宋体" w:hAnsi="宋体" w:eastAsia="宋体" w:cs="Times New Roman"/>
                <w:bCs/>
                <w:color w:val="E4007F"/>
                <w:sz w:val="21"/>
                <w:szCs w:val="21"/>
              </w:rPr>
              <w:t>一、撰写商业计划书</w:t>
            </w:r>
          </w:p>
          <w:p w14:paraId="67302067">
            <w:pPr>
              <w:keepNext w:val="0"/>
              <w:keepLines w:val="0"/>
              <w:pageBreakBefore w:val="0"/>
              <w:widowControl/>
              <w:kinsoku/>
              <w:wordWrap/>
              <w:overflowPunct/>
              <w:topLinePunct w:val="0"/>
              <w:autoSpaceDE/>
              <w:autoSpaceDN/>
              <w:bidi w:val="0"/>
              <w:adjustRightInd/>
              <w:snapToGrid/>
              <w:spacing w:line="240" w:lineRule="auto"/>
              <w:ind w:firstLine="420" w:firstLineChars="200"/>
              <w:textAlignment w:val="auto"/>
              <w:rPr>
                <w:rFonts w:hint="eastAsia" w:ascii="宋体" w:hAnsi="宋体" w:eastAsia="宋体" w:cs="Times New Roman"/>
                <w:bCs/>
                <w:sz w:val="21"/>
                <w:szCs w:val="21"/>
              </w:rPr>
            </w:pPr>
            <w:r>
              <w:rPr>
                <w:rFonts w:hint="eastAsia" w:ascii="宋体" w:hAnsi="宋体" w:eastAsia="宋体" w:cs="Times New Roman"/>
                <w:bCs/>
                <w:sz w:val="21"/>
                <w:szCs w:val="21"/>
              </w:rPr>
              <w:t>撰写商业计划书，用于应对不知何时会遇到的投资人或投资经理。撰写商业计划书不仅是一个包装和表达的过程，也是一个理清产品思路的过程。投资者通过商业计划书第一时间想知道的是：“你这个企业的客户是谁，产品是什么？你的产品，比较现有的产品或服务，帮你的客户解决了什么问题，消除了什么痛苦，或增添了什么价值？你的产品的价值超过你的成本多少？市场有多大？”一个技术上完美的商业计划书如果仍然逻辑怪诞、缺乏说服力，很有可能是你的产品本身就有问题。一个聪明的创业者会借由表达来发现自己的不足，从而先改善产品或商业模式——如果你信奉精益创业，返工的过程就不长，成本也不高。千万不要轻视用心撰写商业计划书的意义。</w:t>
            </w:r>
          </w:p>
          <w:p w14:paraId="37BA51D8">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Times New Roman"/>
                <w:bCs/>
                <w:color w:val="E4007F"/>
                <w:sz w:val="21"/>
                <w:szCs w:val="21"/>
              </w:rPr>
            </w:pPr>
            <w:r>
              <w:rPr>
                <w:rFonts w:hint="eastAsia" w:ascii="宋体" w:hAnsi="宋体" w:eastAsia="宋体" w:cs="Times New Roman"/>
                <w:bCs/>
                <w:color w:val="E4007F"/>
                <w:sz w:val="21"/>
                <w:szCs w:val="21"/>
              </w:rPr>
              <w:t>二、找到投资人</w:t>
            </w:r>
          </w:p>
          <w:p w14:paraId="53A73550">
            <w:pPr>
              <w:keepNext w:val="0"/>
              <w:keepLines w:val="0"/>
              <w:pageBreakBefore w:val="0"/>
              <w:widowControl/>
              <w:kinsoku/>
              <w:wordWrap/>
              <w:overflowPunct/>
              <w:topLinePunct w:val="0"/>
              <w:autoSpaceDE/>
              <w:autoSpaceDN/>
              <w:bidi w:val="0"/>
              <w:adjustRightInd/>
              <w:snapToGrid/>
              <w:spacing w:line="240" w:lineRule="auto"/>
              <w:ind w:firstLine="420" w:firstLineChars="200"/>
              <w:textAlignment w:val="auto"/>
              <w:rPr>
                <w:rFonts w:hint="eastAsia" w:ascii="宋体" w:hAnsi="宋体" w:eastAsia="宋体" w:cs="Times New Roman"/>
                <w:bCs/>
                <w:sz w:val="21"/>
                <w:szCs w:val="21"/>
              </w:rPr>
            </w:pPr>
            <w:r>
              <w:rPr>
                <w:rFonts w:hint="eastAsia" w:ascii="宋体" w:hAnsi="宋体" w:eastAsia="宋体" w:cs="Times New Roman"/>
                <w:bCs/>
                <w:sz w:val="21"/>
                <w:szCs w:val="21"/>
              </w:rPr>
              <w:t>首先到股权众筹平台注册并上传自己的项目，接通一个最大的渠道。不要试图忽悠投资人和平台的投资经理，如果你的项目足够好（很大程度体现在商业计划书上），最大的可能还是通过股权众筹平台接触到投资人。</w:t>
            </w:r>
          </w:p>
          <w:p w14:paraId="073EFDEE">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Times New Roman"/>
                <w:bCs/>
                <w:color w:val="E4007F"/>
                <w:sz w:val="21"/>
                <w:szCs w:val="21"/>
              </w:rPr>
            </w:pPr>
            <w:r>
              <w:rPr>
                <w:rFonts w:hint="eastAsia" w:ascii="宋体" w:hAnsi="宋体" w:eastAsia="宋体" w:cs="Times New Roman"/>
                <w:bCs/>
                <w:color w:val="E4007F"/>
                <w:sz w:val="21"/>
                <w:szCs w:val="21"/>
              </w:rPr>
              <w:t>三、制订融资方案</w:t>
            </w:r>
          </w:p>
          <w:p w14:paraId="22306A9E">
            <w:pPr>
              <w:keepNext w:val="0"/>
              <w:keepLines w:val="0"/>
              <w:pageBreakBefore w:val="0"/>
              <w:widowControl/>
              <w:kinsoku/>
              <w:wordWrap/>
              <w:overflowPunct/>
              <w:topLinePunct w:val="0"/>
              <w:autoSpaceDE/>
              <w:autoSpaceDN/>
              <w:bidi w:val="0"/>
              <w:adjustRightInd/>
              <w:snapToGrid/>
              <w:spacing w:line="240" w:lineRule="auto"/>
              <w:ind w:firstLine="420" w:firstLineChars="200"/>
              <w:textAlignment w:val="auto"/>
              <w:rPr>
                <w:rFonts w:hint="eastAsia" w:ascii="宋体" w:hAnsi="宋体" w:eastAsia="宋体" w:cs="Times New Roman"/>
                <w:bCs/>
                <w:sz w:val="21"/>
                <w:szCs w:val="21"/>
              </w:rPr>
            </w:pPr>
            <w:r>
              <w:rPr>
                <w:rFonts w:hint="eastAsia" w:ascii="宋体" w:hAnsi="宋体" w:eastAsia="宋体" w:cs="Times New Roman"/>
                <w:bCs/>
                <w:sz w:val="21"/>
                <w:szCs w:val="21"/>
              </w:rPr>
              <w:t>交易者在办理期货配资前，应首先对配资的操作方式（使用出资方账户）、交易限制（不可重仓隔夜）以及交易风险（杠杆比例再放大）进行全面的了解。之后，需要选择配资比例并决定配资额。配资比例并非越大越好，交易者应当根据实际需要选择配资比例，配资比例越高，行情向不利方向发展时对交易者自有资金的危害也越大。</w:t>
            </w:r>
          </w:p>
          <w:p w14:paraId="22CFD069">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Times New Roman"/>
                <w:bCs/>
                <w:color w:val="E4007F"/>
                <w:sz w:val="21"/>
                <w:szCs w:val="21"/>
              </w:rPr>
            </w:pPr>
            <w:r>
              <w:rPr>
                <w:rFonts w:hint="eastAsia" w:ascii="宋体" w:hAnsi="宋体" w:eastAsia="宋体" w:cs="Times New Roman"/>
                <w:bCs/>
                <w:color w:val="E4007F"/>
                <w:sz w:val="21"/>
                <w:szCs w:val="21"/>
              </w:rPr>
              <w:t>四、编制贷款报告</w:t>
            </w:r>
          </w:p>
          <w:p w14:paraId="5A28289E">
            <w:pPr>
              <w:keepNext w:val="0"/>
              <w:keepLines w:val="0"/>
              <w:pageBreakBefore w:val="0"/>
              <w:widowControl/>
              <w:kinsoku/>
              <w:wordWrap/>
              <w:overflowPunct/>
              <w:topLinePunct w:val="0"/>
              <w:autoSpaceDE/>
              <w:autoSpaceDN/>
              <w:bidi w:val="0"/>
              <w:adjustRightInd/>
              <w:snapToGrid/>
              <w:spacing w:line="240" w:lineRule="auto"/>
              <w:ind w:firstLine="420" w:firstLineChars="200"/>
              <w:textAlignment w:val="auto"/>
              <w:rPr>
                <w:rFonts w:hint="eastAsia" w:ascii="宋体" w:hAnsi="宋体" w:eastAsia="宋体" w:cs="Times New Roman"/>
                <w:bCs/>
                <w:sz w:val="21"/>
                <w:szCs w:val="21"/>
              </w:rPr>
            </w:pPr>
            <w:r>
              <w:rPr>
                <w:rFonts w:hint="eastAsia" w:ascii="宋体" w:hAnsi="宋体" w:eastAsia="宋体" w:cs="Times New Roman"/>
                <w:bCs/>
                <w:sz w:val="21"/>
                <w:szCs w:val="21"/>
              </w:rPr>
              <w:t>收到合作协议后，你务必仔细阅读协议条款，尤其是关于账户风险监控细则的条款。正确理解风险监控细则对于配资交易者是至关重要的，如交易者对这部分内容存在疑问，请务必在协议签署前与客服人员联系。</w:t>
            </w:r>
          </w:p>
          <w:p w14:paraId="4F67E086">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Times New Roman"/>
                <w:bCs/>
                <w:color w:val="E4007F"/>
                <w:sz w:val="21"/>
                <w:szCs w:val="21"/>
              </w:rPr>
            </w:pPr>
            <w:r>
              <w:rPr>
                <w:rFonts w:hint="eastAsia" w:ascii="宋体" w:hAnsi="宋体" w:eastAsia="宋体" w:cs="Times New Roman"/>
                <w:bCs/>
                <w:color w:val="E4007F"/>
                <w:sz w:val="21"/>
                <w:szCs w:val="21"/>
              </w:rPr>
              <w:t>五、银行审批，存入风险保证金</w:t>
            </w:r>
          </w:p>
          <w:p w14:paraId="5AE12AAA">
            <w:pPr>
              <w:keepNext w:val="0"/>
              <w:keepLines w:val="0"/>
              <w:pageBreakBefore w:val="0"/>
              <w:widowControl/>
              <w:kinsoku/>
              <w:wordWrap/>
              <w:overflowPunct/>
              <w:topLinePunct w:val="0"/>
              <w:autoSpaceDE/>
              <w:autoSpaceDN/>
              <w:bidi w:val="0"/>
              <w:adjustRightInd/>
              <w:snapToGrid/>
              <w:spacing w:line="240" w:lineRule="auto"/>
              <w:ind w:firstLine="420" w:firstLineChars="200"/>
              <w:textAlignment w:val="auto"/>
              <w:rPr>
                <w:rFonts w:hint="eastAsia" w:ascii="宋体" w:hAnsi="宋体" w:eastAsia="宋体" w:cs="Times New Roman"/>
                <w:bCs/>
                <w:sz w:val="21"/>
                <w:szCs w:val="21"/>
              </w:rPr>
            </w:pPr>
            <w:r>
              <w:rPr>
                <w:rFonts w:hint="eastAsia" w:ascii="宋体" w:hAnsi="宋体" w:eastAsia="宋体" w:cs="Times New Roman"/>
                <w:bCs/>
                <w:sz w:val="21"/>
                <w:szCs w:val="21"/>
              </w:rPr>
              <w:t>银行公司业务部将公司资料及贷款报告上报分行信审部门，需上报银行总行的通过分行上报总行信审部门。根据贷款报告安排审贷会议，会议直接审核通过贷款或提出审贷意见并反馈给银行公司业务部，并由其对反馈的意见进行回复，银行信审部门做出最终批复。账户查验无误后，交易者按合同约定金额及账号支付风险保证金。</w:t>
            </w:r>
          </w:p>
          <w:p w14:paraId="0F8EEBE6">
            <w:pPr>
              <w:keepNext w:val="0"/>
              <w:keepLines w:val="0"/>
              <w:pageBreakBefore w:val="0"/>
              <w:widowControl/>
              <w:numPr>
                <w:ilvl w:val="0"/>
                <w:numId w:val="0"/>
              </w:numPr>
              <w:kinsoku/>
              <w:wordWrap/>
              <w:overflowPunct/>
              <w:topLinePunct w:val="0"/>
              <w:autoSpaceDE/>
              <w:autoSpaceDN/>
              <w:bidi w:val="0"/>
              <w:adjustRightInd/>
              <w:snapToGrid/>
              <w:spacing w:line="240" w:lineRule="auto"/>
              <w:ind w:firstLine="420" w:firstLineChars="200"/>
              <w:jc w:val="left"/>
              <w:textAlignment w:val="auto"/>
              <w:rPr>
                <w:rFonts w:hint="eastAsia" w:ascii="宋体" w:hAnsi="宋体" w:eastAsia="宋体" w:cs="Times New Roman"/>
                <w:bCs/>
                <w:color w:val="E4007F"/>
                <w:sz w:val="21"/>
                <w:szCs w:val="21"/>
              </w:rPr>
            </w:pPr>
            <w:r>
              <w:rPr>
                <w:rFonts w:hint="eastAsia" w:ascii="宋体" w:hAnsi="宋体" w:eastAsia="宋体" w:cs="Times New Roman"/>
                <w:bCs/>
                <w:color w:val="E4007F"/>
                <w:sz w:val="21"/>
                <w:szCs w:val="21"/>
              </w:rPr>
              <w:t>六、放款，正式开始交易</w:t>
            </w:r>
          </w:p>
          <w:p w14:paraId="73FA3537">
            <w:pPr>
              <w:keepNext w:val="0"/>
              <w:keepLines w:val="0"/>
              <w:pageBreakBefore w:val="0"/>
              <w:widowControl/>
              <w:kinsoku/>
              <w:wordWrap/>
              <w:overflowPunct/>
              <w:topLinePunct w:val="0"/>
              <w:autoSpaceDE/>
              <w:autoSpaceDN/>
              <w:bidi w:val="0"/>
              <w:adjustRightInd/>
              <w:snapToGrid/>
              <w:spacing w:line="240" w:lineRule="auto"/>
              <w:ind w:firstLine="420" w:firstLineChars="200"/>
              <w:textAlignment w:val="auto"/>
              <w:rPr>
                <w:rFonts w:hint="eastAsia" w:ascii="宋体" w:hAnsi="宋体" w:eastAsia="宋体" w:cs="Times New Roman"/>
                <w:bCs/>
                <w:sz w:val="21"/>
                <w:szCs w:val="21"/>
              </w:rPr>
            </w:pPr>
            <w:r>
              <w:rPr>
                <w:rFonts w:hint="eastAsia" w:ascii="宋体" w:hAnsi="宋体" w:eastAsia="宋体" w:cs="Times New Roman"/>
                <w:bCs/>
                <w:sz w:val="21"/>
                <w:szCs w:val="21"/>
              </w:rPr>
              <w:t>根据银行信审部门的批复文件，协助银行落实放款工作。确认到款后，账户正式交付给交易者进行交易。配资注意事项如下。</w:t>
            </w:r>
          </w:p>
          <w:p w14:paraId="7170CAB7">
            <w:pPr>
              <w:keepNext w:val="0"/>
              <w:keepLines w:val="0"/>
              <w:pageBreakBefore w:val="0"/>
              <w:widowControl/>
              <w:kinsoku/>
              <w:wordWrap/>
              <w:overflowPunct/>
              <w:topLinePunct w:val="0"/>
              <w:autoSpaceDE/>
              <w:autoSpaceDN/>
              <w:bidi w:val="0"/>
              <w:adjustRightInd/>
              <w:snapToGrid/>
              <w:spacing w:line="240" w:lineRule="auto"/>
              <w:ind w:firstLine="420" w:firstLineChars="200"/>
              <w:textAlignment w:val="auto"/>
              <w:rPr>
                <w:rFonts w:hint="eastAsia" w:ascii="宋体" w:hAnsi="宋体" w:eastAsia="宋体" w:cs="Times New Roman"/>
                <w:bCs/>
                <w:sz w:val="21"/>
                <w:szCs w:val="21"/>
              </w:rPr>
            </w:pPr>
            <w:r>
              <w:rPr>
                <w:rFonts w:hint="eastAsia" w:ascii="宋体" w:hAnsi="宋体" w:eastAsia="宋体" w:cs="Times New Roman"/>
                <w:bCs/>
                <w:sz w:val="21"/>
                <w:szCs w:val="21"/>
              </w:rPr>
              <w:t>（1）检验公司是否正规非常重要，可以到114 查询公司详细信息，可到当地的工商局查询公司是否注册，也可到实地进行考察。</w:t>
            </w:r>
          </w:p>
          <w:p w14:paraId="7FBF908B">
            <w:pPr>
              <w:keepNext w:val="0"/>
              <w:keepLines w:val="0"/>
              <w:pageBreakBefore w:val="0"/>
              <w:widowControl/>
              <w:kinsoku/>
              <w:wordWrap/>
              <w:overflowPunct/>
              <w:topLinePunct w:val="0"/>
              <w:autoSpaceDE/>
              <w:autoSpaceDN/>
              <w:bidi w:val="0"/>
              <w:adjustRightInd/>
              <w:snapToGrid/>
              <w:spacing w:line="240" w:lineRule="auto"/>
              <w:ind w:firstLine="420" w:firstLineChars="200"/>
              <w:textAlignment w:val="auto"/>
              <w:rPr>
                <w:rFonts w:hint="eastAsia" w:ascii="宋体" w:hAnsi="宋体" w:eastAsia="宋体" w:cs="Times New Roman"/>
                <w:bCs/>
                <w:sz w:val="21"/>
                <w:szCs w:val="21"/>
              </w:rPr>
            </w:pPr>
            <w:r>
              <w:rPr>
                <w:rFonts w:hint="eastAsia" w:ascii="宋体" w:hAnsi="宋体" w:eastAsia="宋体" w:cs="Times New Roman"/>
                <w:bCs/>
                <w:sz w:val="21"/>
                <w:szCs w:val="21"/>
              </w:rPr>
              <w:t>（2）配资前，请确认合同上的条款是否符合业内的法律。可以拿到当地律师事务所进行核实、确认配资合同符合操作规则，再签订。</w:t>
            </w:r>
          </w:p>
          <w:p w14:paraId="1E75A521">
            <w:pPr>
              <w:keepNext w:val="0"/>
              <w:keepLines w:val="0"/>
              <w:pageBreakBefore w:val="0"/>
              <w:widowControl/>
              <w:kinsoku/>
              <w:wordWrap/>
              <w:overflowPunct/>
              <w:topLinePunct w:val="0"/>
              <w:autoSpaceDE/>
              <w:autoSpaceDN/>
              <w:bidi w:val="0"/>
              <w:adjustRightInd/>
              <w:snapToGrid/>
              <w:spacing w:line="240" w:lineRule="auto"/>
              <w:ind w:firstLine="420" w:firstLineChars="200"/>
              <w:textAlignment w:val="auto"/>
              <w:rPr>
                <w:rFonts w:hint="eastAsia" w:ascii="宋体" w:hAnsi="宋体" w:eastAsia="宋体" w:cs="Times New Roman"/>
                <w:bCs/>
                <w:sz w:val="21"/>
                <w:szCs w:val="21"/>
              </w:rPr>
            </w:pPr>
            <w:r>
              <w:rPr>
                <w:rFonts w:hint="eastAsia" w:ascii="宋体" w:hAnsi="宋体" w:eastAsia="宋体" w:cs="Times New Roman"/>
                <w:bCs/>
                <w:sz w:val="21"/>
                <w:szCs w:val="21"/>
              </w:rPr>
              <w:t>（3）入金前，确认入金账户是公司账户，并不是私人账户。千万不要把配资保证金打到私人的账户上。</w:t>
            </w:r>
          </w:p>
          <w:p w14:paraId="17B0C384">
            <w:pPr>
              <w:rPr>
                <w:rFonts w:hint="default" w:ascii="宋体" w:hAnsi="宋体" w:eastAsia="宋体" w:cs="Times New Roman"/>
                <w:lang w:val="en-US" w:eastAsia="zh-CN"/>
              </w:rPr>
            </w:pPr>
            <w:r>
              <w:rPr>
                <w:rFonts w:hint="eastAsia" w:ascii="宋体" w:hAnsi="宋体" w:eastAsia="宋体" w:cs="Times New Roman"/>
                <w:b/>
                <w:color w:val="84615D"/>
                <w:sz w:val="18"/>
              </w:rPr>
              <w:t>【学生】掌握企业融资</w:t>
            </w:r>
            <w:r>
              <w:rPr>
                <w:rFonts w:hint="eastAsia" w:ascii="宋体" w:hAnsi="宋体" w:eastAsia="宋体" w:cs="Times New Roman"/>
                <w:b/>
                <w:color w:val="84615D"/>
                <w:sz w:val="18"/>
                <w:lang w:val="en-US" w:eastAsia="zh-CN"/>
              </w:rPr>
              <w:t>的内容</w:t>
            </w:r>
          </w:p>
        </w:tc>
        <w:tc>
          <w:tcPr>
            <w:tcW w:w="1585" w:type="dxa"/>
            <w:shd w:val="clear" w:color="auto" w:fill="FFFFFF"/>
            <w:noWrap w:val="0"/>
            <w:vAlign w:val="center"/>
          </w:tcPr>
          <w:p w14:paraId="217F9C36">
            <w:pPr>
              <w:pStyle w:val="6"/>
              <w:ind w:firstLine="192" w:firstLineChars="100"/>
              <w:rPr>
                <w:rFonts w:hint="eastAsia" w:ascii="宋体" w:hAnsi="宋体" w:eastAsia="宋体" w:cs="Times New Roman"/>
                <w:spacing w:val="6"/>
              </w:rPr>
            </w:pPr>
          </w:p>
          <w:p w14:paraId="621D51A6">
            <w:pPr>
              <w:pStyle w:val="6"/>
              <w:ind w:firstLine="192" w:firstLineChars="100"/>
              <w:rPr>
                <w:rFonts w:hint="eastAsia" w:ascii="宋体" w:hAnsi="宋体" w:eastAsia="宋体" w:cs="Times New Roman"/>
                <w:spacing w:val="6"/>
              </w:rPr>
            </w:pPr>
          </w:p>
          <w:p w14:paraId="6FFC29ED">
            <w:pPr>
              <w:pStyle w:val="6"/>
              <w:ind w:firstLine="192" w:firstLineChars="100"/>
              <w:rPr>
                <w:rFonts w:hint="eastAsia" w:ascii="宋体" w:hAnsi="宋体" w:eastAsia="宋体" w:cs="Times New Roman"/>
                <w:spacing w:val="6"/>
              </w:rPr>
            </w:pPr>
          </w:p>
          <w:p w14:paraId="3BACC7CC">
            <w:pPr>
              <w:pStyle w:val="6"/>
              <w:ind w:firstLine="192" w:firstLineChars="100"/>
              <w:rPr>
                <w:rFonts w:hint="eastAsia" w:ascii="宋体" w:hAnsi="宋体" w:eastAsia="宋体" w:cs="Times New Roman"/>
                <w:spacing w:val="6"/>
              </w:rPr>
            </w:pPr>
          </w:p>
          <w:p w14:paraId="341DE16A">
            <w:pPr>
              <w:pStyle w:val="6"/>
              <w:ind w:firstLine="192" w:firstLineChars="100"/>
              <w:rPr>
                <w:rFonts w:hint="eastAsia" w:ascii="宋体" w:hAnsi="宋体" w:eastAsia="宋体" w:cs="Times New Roman"/>
                <w:spacing w:val="6"/>
              </w:rPr>
            </w:pPr>
          </w:p>
          <w:p w14:paraId="5F3EEC07">
            <w:pPr>
              <w:pStyle w:val="6"/>
              <w:ind w:firstLine="192" w:firstLineChars="100"/>
              <w:rPr>
                <w:rFonts w:hint="eastAsia" w:ascii="宋体" w:hAnsi="宋体" w:eastAsia="宋体" w:cs="Times New Roman"/>
                <w:spacing w:val="6"/>
              </w:rPr>
            </w:pPr>
          </w:p>
          <w:p w14:paraId="007E9BCB">
            <w:pPr>
              <w:pStyle w:val="6"/>
              <w:ind w:firstLine="192" w:firstLineChars="100"/>
              <w:rPr>
                <w:rFonts w:hint="eastAsia" w:ascii="宋体" w:hAnsi="宋体" w:eastAsia="宋体" w:cs="Times New Roman"/>
                <w:spacing w:val="6"/>
              </w:rPr>
            </w:pPr>
          </w:p>
          <w:p w14:paraId="2E5FDDBD">
            <w:pPr>
              <w:pStyle w:val="6"/>
              <w:ind w:firstLine="192" w:firstLineChars="100"/>
              <w:rPr>
                <w:rFonts w:hint="eastAsia" w:ascii="宋体" w:hAnsi="宋体" w:eastAsia="宋体" w:cs="Times New Roman"/>
                <w:spacing w:val="6"/>
              </w:rPr>
            </w:pPr>
          </w:p>
          <w:p w14:paraId="1714342A">
            <w:pPr>
              <w:pStyle w:val="6"/>
              <w:ind w:firstLine="192" w:firstLineChars="100"/>
              <w:rPr>
                <w:rFonts w:hint="eastAsia" w:ascii="宋体" w:hAnsi="宋体" w:eastAsia="宋体" w:cs="Times New Roman"/>
                <w:spacing w:val="6"/>
              </w:rPr>
            </w:pPr>
          </w:p>
          <w:p w14:paraId="7E90B3C1">
            <w:pPr>
              <w:pStyle w:val="6"/>
              <w:ind w:firstLine="192" w:firstLineChars="100"/>
              <w:rPr>
                <w:rFonts w:hint="eastAsia" w:ascii="宋体" w:hAnsi="宋体" w:eastAsia="宋体" w:cs="Times New Roman"/>
                <w:spacing w:val="6"/>
              </w:rPr>
            </w:pPr>
          </w:p>
          <w:p w14:paraId="055030D9">
            <w:pPr>
              <w:pStyle w:val="6"/>
              <w:ind w:firstLine="192" w:firstLineChars="100"/>
              <w:rPr>
                <w:rFonts w:hint="eastAsia" w:ascii="宋体" w:hAnsi="宋体" w:eastAsia="宋体" w:cs="Times New Roman"/>
                <w:spacing w:val="6"/>
              </w:rPr>
            </w:pPr>
          </w:p>
          <w:p w14:paraId="6A11CF07">
            <w:pPr>
              <w:pStyle w:val="6"/>
              <w:ind w:firstLine="192" w:firstLineChars="100"/>
              <w:rPr>
                <w:rFonts w:hint="eastAsia" w:ascii="宋体" w:hAnsi="宋体" w:eastAsia="宋体" w:cs="Times New Roman"/>
                <w:spacing w:val="6"/>
              </w:rPr>
            </w:pPr>
          </w:p>
          <w:p w14:paraId="7027BFFF">
            <w:pPr>
              <w:pStyle w:val="6"/>
              <w:ind w:firstLine="192" w:firstLineChars="100"/>
              <w:rPr>
                <w:rFonts w:hint="eastAsia" w:ascii="宋体" w:hAnsi="宋体" w:eastAsia="宋体" w:cs="Times New Roman"/>
                <w:spacing w:val="6"/>
              </w:rPr>
            </w:pPr>
          </w:p>
          <w:p w14:paraId="330AC9A1">
            <w:pPr>
              <w:pStyle w:val="6"/>
              <w:ind w:firstLine="192" w:firstLineChars="100"/>
              <w:rPr>
                <w:rFonts w:hint="eastAsia" w:ascii="宋体" w:hAnsi="宋体" w:eastAsia="宋体" w:cs="Times New Roman"/>
                <w:spacing w:val="6"/>
              </w:rPr>
            </w:pPr>
            <w:r>
              <w:rPr>
                <w:rFonts w:hint="eastAsia" w:ascii="宋体" w:hAnsi="宋体" w:eastAsia="宋体" w:cs="Times New Roman"/>
                <w:spacing w:val="6"/>
              </w:rPr>
              <w:t>学习创业企业融资流程，同时学习一些撰写商业计划书。边做边讲，及时巩固练习，实现教学做一体化</w:t>
            </w:r>
          </w:p>
        </w:tc>
      </w:tr>
      <w:tr w14:paraId="1C5824F3">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567" w:hRule="atLeast"/>
          <w:jc w:val="center"/>
        </w:trPr>
        <w:tc>
          <w:tcPr>
            <w:tcW w:w="1389" w:type="dxa"/>
            <w:shd w:val="clear" w:color="auto" w:fill="E6F1EB"/>
            <w:noWrap w:val="0"/>
            <w:vAlign w:val="center"/>
          </w:tcPr>
          <w:p w14:paraId="15EEFEC3">
            <w:pPr>
              <w:pStyle w:val="6"/>
              <w:jc w:val="center"/>
              <w:rPr>
                <w:rFonts w:hint="eastAsia" w:ascii="宋体" w:hAnsi="宋体" w:eastAsia="宋体" w:cs="Times New Roman"/>
              </w:rPr>
            </w:pPr>
            <w:r>
              <w:rPr>
                <w:rFonts w:hint="eastAsia" w:ascii="宋体" w:hAnsi="宋体" w:eastAsia="宋体" w:cs="Times New Roman"/>
                <w:b/>
              </w:rPr>
              <w:t>课堂测验</w:t>
            </w:r>
            <w:r>
              <w:rPr>
                <w:rFonts w:ascii="宋体" w:hAnsi="宋体" w:eastAsia="宋体" w:cs="Times New Roman"/>
                <w:b/>
              </w:rPr>
              <w:br w:type="textWrapping"/>
            </w:r>
            <w:r>
              <w:rPr>
                <w:rFonts w:hint="eastAsia" w:ascii="宋体" w:hAnsi="宋体" w:eastAsia="宋体" w:cs="Times New Roman"/>
                <w:b/>
              </w:rPr>
              <w:t>（</w:t>
            </w:r>
            <w:r>
              <w:rPr>
                <w:rFonts w:ascii="宋体" w:hAnsi="宋体" w:eastAsia="宋体" w:cs="Times New Roman"/>
                <w:b/>
              </w:rPr>
              <w:t>10</w:t>
            </w:r>
            <w:r>
              <w:rPr>
                <w:rFonts w:hint="eastAsia" w:ascii="宋体" w:hAnsi="宋体" w:eastAsia="宋体" w:cs="Times New Roman"/>
                <w:b/>
              </w:rPr>
              <w:t>min）</w:t>
            </w:r>
          </w:p>
        </w:tc>
        <w:tc>
          <w:tcPr>
            <w:tcW w:w="5472" w:type="dxa"/>
            <w:shd w:val="clear" w:color="auto" w:fill="FFFFFF"/>
            <w:noWrap w:val="0"/>
            <w:vAlign w:val="center"/>
          </w:tcPr>
          <w:p w14:paraId="21FBF318">
            <w:pPr>
              <w:pStyle w:val="6"/>
              <w:spacing w:before="160" w:after="120"/>
              <w:rPr>
                <w:rFonts w:hint="eastAsia" w:ascii="宋体" w:hAnsi="宋体" w:eastAsia="宋体" w:cs="Times New Roman"/>
                <w:b/>
                <w:color w:val="5D8979"/>
              </w:rPr>
            </w:pPr>
            <w:r>
              <w:rPr>
                <w:rFonts w:hint="eastAsia" w:ascii="宋体" w:hAnsi="宋体" w:eastAsia="宋体" w:cs="Times New Roman"/>
                <w:b/>
                <w:color w:val="5D8979"/>
              </w:rPr>
              <w:t>【教师】</w:t>
            </w:r>
            <w:r>
              <w:rPr>
                <w:rFonts w:hint="eastAsia" w:ascii="宋体" w:hAnsi="宋体" w:eastAsia="宋体" w:cs="Times New Roman"/>
                <w:b/>
                <w:color w:val="5D8979"/>
                <w:lang w:eastAsia="zh-CN"/>
              </w:rPr>
              <w:t>简述</w:t>
            </w:r>
            <w:r>
              <w:rPr>
                <w:rFonts w:hint="eastAsia" w:ascii="宋体" w:hAnsi="宋体" w:eastAsia="宋体" w:cs="Times New Roman"/>
                <w:b/>
                <w:color w:val="5D8979"/>
              </w:rPr>
              <w:t>企业融资的内容</w:t>
            </w:r>
          </w:p>
          <w:p w14:paraId="4F1CF25C">
            <w:pPr>
              <w:pStyle w:val="6"/>
              <w:numPr>
                <w:ilvl w:val="0"/>
                <w:numId w:val="0"/>
              </w:numPr>
              <w:spacing w:before="140" w:after="120"/>
              <w:rPr>
                <w:rFonts w:hint="eastAsia" w:ascii="宋体" w:hAnsi="宋体" w:eastAsia="宋体" w:cs="Times New Roman"/>
                <w:color w:val="84615D"/>
              </w:rPr>
            </w:pPr>
            <w:r>
              <w:rPr>
                <w:rFonts w:hint="eastAsia" w:ascii="宋体" w:hAnsi="宋体" w:eastAsia="宋体" w:cs="Times New Roman"/>
                <w:b/>
                <w:color w:val="84615D"/>
              </w:rPr>
              <w:t>【学生】做测试题目</w:t>
            </w:r>
          </w:p>
        </w:tc>
        <w:tc>
          <w:tcPr>
            <w:tcW w:w="1585" w:type="dxa"/>
            <w:shd w:val="clear" w:color="auto" w:fill="FFFFFF"/>
            <w:noWrap w:val="0"/>
            <w:vAlign w:val="center"/>
          </w:tcPr>
          <w:p w14:paraId="64AA3ED2">
            <w:pPr>
              <w:pStyle w:val="6"/>
              <w:ind w:firstLine="180" w:firstLineChars="100"/>
              <w:rPr>
                <w:rFonts w:hint="eastAsia" w:ascii="宋体" w:hAnsi="宋体" w:eastAsia="宋体" w:cs="Times New Roman"/>
              </w:rPr>
            </w:pPr>
            <w:r>
              <w:rPr>
                <w:rFonts w:hint="eastAsia" w:ascii="宋体" w:hAnsi="宋体" w:eastAsia="宋体" w:cs="Times New Roman"/>
              </w:rPr>
              <w:t>通过测试，了解学生对知识点的掌握情况，加深学生对本节课知识的印象</w:t>
            </w:r>
          </w:p>
        </w:tc>
      </w:tr>
      <w:tr w14:paraId="5C9DC097">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567" w:hRule="atLeast"/>
          <w:jc w:val="center"/>
        </w:trPr>
        <w:tc>
          <w:tcPr>
            <w:tcW w:w="1389" w:type="dxa"/>
            <w:shd w:val="clear" w:color="auto" w:fill="F5F5E1"/>
            <w:noWrap w:val="0"/>
            <w:vAlign w:val="center"/>
          </w:tcPr>
          <w:p w14:paraId="40AED825">
            <w:pPr>
              <w:pStyle w:val="6"/>
              <w:jc w:val="center"/>
              <w:rPr>
                <w:rFonts w:hint="eastAsia" w:ascii="宋体" w:hAnsi="宋体" w:eastAsia="宋体" w:cs="Times New Roman"/>
              </w:rPr>
            </w:pPr>
            <w:r>
              <w:rPr>
                <w:rFonts w:hint="eastAsia" w:ascii="宋体" w:hAnsi="宋体" w:eastAsia="宋体" w:cs="Times New Roman"/>
                <w:b/>
              </w:rPr>
              <w:t>课堂小结</w:t>
            </w:r>
            <w:r>
              <w:rPr>
                <w:rFonts w:ascii="宋体" w:hAnsi="宋体" w:eastAsia="宋体" w:cs="Times New Roman"/>
                <w:b/>
              </w:rPr>
              <w:br w:type="textWrapping"/>
            </w:r>
            <w:r>
              <w:rPr>
                <w:rFonts w:hint="eastAsia" w:ascii="宋体" w:hAnsi="宋体" w:eastAsia="宋体" w:cs="Times New Roman"/>
                <w:b/>
              </w:rPr>
              <w:t>（</w:t>
            </w:r>
            <w:r>
              <w:rPr>
                <w:rFonts w:ascii="宋体" w:hAnsi="宋体" w:eastAsia="宋体" w:cs="Times New Roman"/>
                <w:b/>
              </w:rPr>
              <w:t>5</w:t>
            </w:r>
            <w:r>
              <w:rPr>
                <w:rFonts w:hint="eastAsia" w:ascii="宋体" w:hAnsi="宋体" w:eastAsia="宋体" w:cs="Times New Roman"/>
                <w:b/>
              </w:rPr>
              <w:t>min）</w:t>
            </w:r>
          </w:p>
        </w:tc>
        <w:tc>
          <w:tcPr>
            <w:tcW w:w="5472" w:type="dxa"/>
            <w:shd w:val="clear" w:color="auto" w:fill="FFFFFF"/>
            <w:noWrap w:val="0"/>
            <w:vAlign w:val="center"/>
          </w:tcPr>
          <w:p w14:paraId="3789501A">
            <w:pPr>
              <w:pStyle w:val="6"/>
              <w:spacing w:before="160" w:after="120"/>
              <w:rPr>
                <w:rFonts w:hint="eastAsia" w:ascii="宋体" w:hAnsi="宋体" w:eastAsia="宋体" w:cs="Times New Roman"/>
                <w:b/>
                <w:color w:val="5D8979"/>
              </w:rPr>
            </w:pPr>
            <w:r>
              <w:rPr>
                <w:rFonts w:hint="eastAsia" w:ascii="宋体" w:hAnsi="宋体" w:eastAsia="宋体" w:cs="Times New Roman"/>
                <w:b/>
                <w:color w:val="5D8979"/>
              </w:rPr>
              <w:t>【教师】简要总结本节课的要点</w:t>
            </w:r>
          </w:p>
          <w:p w14:paraId="0830BE96">
            <w:pPr>
              <w:pStyle w:val="6"/>
              <w:spacing w:before="160" w:after="120"/>
              <w:rPr>
                <w:rFonts w:hint="eastAsia" w:ascii="宋体" w:hAnsi="宋体" w:eastAsia="宋体" w:cs="Times New Roman"/>
                <w:bCs/>
                <w:lang w:eastAsia="zh-CN"/>
              </w:rPr>
            </w:pPr>
            <w:r>
              <w:rPr>
                <w:rFonts w:hint="eastAsia" w:ascii="宋体" w:hAnsi="宋体" w:eastAsia="宋体" w:cs="Times New Roman"/>
                <w:bCs/>
              </w:rPr>
              <w:t>本节课上大家掌握了企业融资的内容，课后要多加</w:t>
            </w:r>
            <w:r>
              <w:rPr>
                <w:rFonts w:hint="eastAsia" w:ascii="宋体" w:hAnsi="宋体" w:eastAsia="宋体" w:cs="Times New Roman"/>
                <w:bCs/>
                <w:lang w:eastAsia="zh-CN"/>
              </w:rPr>
              <w:t>记忆</w:t>
            </w:r>
            <w:r>
              <w:rPr>
                <w:rFonts w:hint="eastAsia" w:ascii="宋体" w:hAnsi="宋体" w:eastAsia="宋体" w:cs="Times New Roman"/>
                <w:bCs/>
              </w:rPr>
              <w:t>。面对市场</w:t>
            </w:r>
            <w:r>
              <w:rPr>
                <w:rFonts w:hint="eastAsia" w:ascii="宋体" w:hAnsi="宋体" w:eastAsia="宋体" w:cs="Times New Roman"/>
                <w:bCs/>
                <w:lang w:eastAsia="zh-CN"/>
              </w:rPr>
              <w:t>的变化</w:t>
            </w:r>
            <w:r>
              <w:rPr>
                <w:rFonts w:hint="eastAsia" w:ascii="宋体" w:hAnsi="宋体" w:eastAsia="宋体" w:cs="Times New Roman"/>
                <w:bCs/>
              </w:rPr>
              <w:t>，审视人才的视角也从单一的个体层面转向了融合个体、团队、组织、社会乃至环境等多个维度，涵盖学习、创新、合作、实践等多种因素的立体视角。</w:t>
            </w:r>
          </w:p>
          <w:p w14:paraId="4F4E54F6">
            <w:pPr>
              <w:pStyle w:val="6"/>
              <w:keepNext w:val="0"/>
              <w:keepLines w:val="0"/>
              <w:pageBreakBefore w:val="0"/>
              <w:widowControl/>
              <w:numPr>
                <w:ilvl w:val="0"/>
                <w:numId w:val="0"/>
              </w:numPr>
              <w:kinsoku/>
              <w:wordWrap/>
              <w:overflowPunct/>
              <w:topLinePunct w:val="0"/>
              <w:autoSpaceDE/>
              <w:autoSpaceDN/>
              <w:bidi w:val="0"/>
              <w:adjustRightInd/>
              <w:snapToGrid/>
              <w:spacing w:before="80" w:after="120"/>
              <w:textAlignment w:val="auto"/>
              <w:rPr>
                <w:rFonts w:hint="eastAsia" w:ascii="宋体" w:hAnsi="宋体" w:eastAsia="宋体" w:cs="Times New Roman"/>
                <w:b/>
                <w:color w:val="84615D"/>
              </w:rPr>
            </w:pPr>
            <w:r>
              <w:rPr>
                <w:rFonts w:hint="eastAsia" w:ascii="宋体" w:hAnsi="宋体" w:eastAsia="宋体" w:cs="Times New Roman"/>
                <w:b/>
                <w:color w:val="84615D"/>
              </w:rPr>
              <w:t>【学生】总结回顾知识点</w:t>
            </w:r>
          </w:p>
        </w:tc>
        <w:tc>
          <w:tcPr>
            <w:tcW w:w="1585" w:type="dxa"/>
            <w:shd w:val="clear" w:color="auto" w:fill="FFFFFF"/>
            <w:noWrap w:val="0"/>
            <w:vAlign w:val="center"/>
          </w:tcPr>
          <w:p w14:paraId="4866A19F">
            <w:pPr>
              <w:pStyle w:val="6"/>
              <w:ind w:firstLine="180" w:firstLineChars="100"/>
              <w:rPr>
                <w:rFonts w:hint="eastAsia" w:ascii="宋体" w:hAnsi="宋体" w:eastAsia="宋体" w:cs="Times New Roman"/>
              </w:rPr>
            </w:pPr>
            <w:r>
              <w:rPr>
                <w:rFonts w:hint="eastAsia" w:ascii="宋体" w:hAnsi="宋体" w:eastAsia="宋体" w:cs="Times New Roman"/>
              </w:rPr>
              <w:t>总结知识点，巩固印象</w:t>
            </w:r>
          </w:p>
        </w:tc>
      </w:tr>
      <w:tr w14:paraId="2F2D9D96">
        <w:tblPrEx>
          <w:tblBorders>
            <w:top w:val="single" w:color="418D67" w:sz="8" w:space="0"/>
            <w:left w:val="single" w:color="418D67" w:sz="8" w:space="0"/>
            <w:bottom w:val="single" w:color="418D67" w:sz="8" w:space="0"/>
            <w:right w:val="single" w:color="418D67" w:sz="8" w:space="0"/>
            <w:insideH w:val="single" w:color="418D67" w:sz="4" w:space="0"/>
            <w:insideV w:val="single" w:color="418D67" w:sz="4" w:space="0"/>
          </w:tblBorders>
          <w:tblCellMar>
            <w:top w:w="0" w:type="dxa"/>
            <w:left w:w="108" w:type="dxa"/>
            <w:bottom w:w="0" w:type="dxa"/>
            <w:right w:w="108" w:type="dxa"/>
          </w:tblCellMar>
        </w:tblPrEx>
        <w:trPr>
          <w:trHeight w:val="567" w:hRule="atLeast"/>
          <w:jc w:val="center"/>
        </w:trPr>
        <w:tc>
          <w:tcPr>
            <w:tcW w:w="1389" w:type="dxa"/>
            <w:shd w:val="clear" w:color="auto" w:fill="F5F5E1"/>
            <w:noWrap w:val="0"/>
            <w:vAlign w:val="center"/>
          </w:tcPr>
          <w:p w14:paraId="163273BC">
            <w:pPr>
              <w:pStyle w:val="6"/>
              <w:jc w:val="center"/>
              <w:rPr>
                <w:rFonts w:hint="eastAsia" w:ascii="宋体" w:hAnsi="宋体" w:eastAsia="宋体" w:cs="Times New Roman"/>
                <w:b/>
              </w:rPr>
            </w:pPr>
            <w:r>
              <w:rPr>
                <w:rFonts w:hint="eastAsia" w:ascii="宋体" w:hAnsi="宋体" w:eastAsia="宋体" w:cs="Times New Roman"/>
                <w:b/>
              </w:rPr>
              <w:t>教学反思</w:t>
            </w:r>
          </w:p>
        </w:tc>
        <w:tc>
          <w:tcPr>
            <w:tcW w:w="5472" w:type="dxa"/>
            <w:shd w:val="clear" w:color="auto" w:fill="FFFFFF"/>
            <w:noWrap w:val="0"/>
            <w:vAlign w:val="center"/>
          </w:tcPr>
          <w:p w14:paraId="3738B4BF">
            <w:pPr>
              <w:pStyle w:val="6"/>
              <w:keepNext w:val="0"/>
              <w:keepLines w:val="0"/>
              <w:pageBreakBefore w:val="0"/>
              <w:widowControl/>
              <w:numPr>
                <w:ilvl w:val="0"/>
                <w:numId w:val="0"/>
              </w:numPr>
              <w:kinsoku/>
              <w:wordWrap/>
              <w:overflowPunct/>
              <w:topLinePunct w:val="0"/>
              <w:autoSpaceDE/>
              <w:autoSpaceDN/>
              <w:bidi w:val="0"/>
              <w:adjustRightInd/>
              <w:snapToGrid/>
              <w:spacing w:before="80" w:after="120"/>
              <w:textAlignment w:val="auto"/>
              <w:rPr>
                <w:rFonts w:hint="eastAsia" w:ascii="宋体" w:hAnsi="宋体" w:eastAsia="宋体" w:cs="Times New Roman"/>
                <w:b/>
                <w:color w:val="84615D"/>
              </w:rPr>
            </w:pPr>
            <w:r>
              <w:rPr>
                <w:rFonts w:hint="eastAsia" w:ascii="宋体" w:hAnsi="宋体" w:eastAsia="宋体" w:cs="Times New Roman"/>
                <w:bCs/>
              </w:rPr>
              <w:t>过复习发现学生有很多知识已经淡忘，教师还要多与学生进行深入的沟通和交流，这一方面是与学生探讨学习方法和策略让学生在探讨中发现、认识自身学习中存在的问题并及时纠正，从而掌握科学有效的学习方法，提高学习质量和效率。一方面在交谈中可以便于教师了解和掌握学生的心理情况，及时排解和消除学生学习中的困难，建立起良好的师生关系，更好地开展数学教学。</w:t>
            </w:r>
          </w:p>
        </w:tc>
        <w:tc>
          <w:tcPr>
            <w:tcW w:w="1585" w:type="dxa"/>
            <w:shd w:val="clear" w:color="auto" w:fill="FFFFFF"/>
            <w:noWrap w:val="0"/>
            <w:vAlign w:val="center"/>
          </w:tcPr>
          <w:p w14:paraId="75017D1D">
            <w:pPr>
              <w:pStyle w:val="6"/>
              <w:ind w:firstLine="180" w:firstLineChars="100"/>
              <w:rPr>
                <w:rFonts w:hint="eastAsia" w:ascii="宋体" w:hAnsi="宋体" w:eastAsia="宋体" w:cs="Times New Roman"/>
              </w:rPr>
            </w:pPr>
          </w:p>
        </w:tc>
      </w:tr>
    </w:tbl>
    <w:p w14:paraId="102724F4">
      <w:pPr>
        <w:jc w:val="center"/>
        <w:rPr>
          <w:rFonts w:hint="eastAsia" w:ascii="汉仪大宋简" w:hAnsi="Calibri" w:eastAsia="汉仪大宋简" w:cs="Times New Roman"/>
          <w:b/>
          <w:bCs/>
          <w:caps/>
          <w:color w:val="418D67"/>
          <w:sz w:val="30"/>
          <w:szCs w:val="30"/>
          <w:lang w:val="en-US" w:eastAsia="zh-CN" w:bidi="ar-SA"/>
        </w:rPr>
      </w:pPr>
    </w:p>
    <w:sectPr>
      <w:headerReference r:id="rId6" w:type="first"/>
      <w:headerReference r:id="rId5" w:type="default"/>
      <w:pgSz w:w="11906" w:h="16838"/>
      <w:pgMar w:top="850" w:right="567" w:bottom="850" w:left="567" w:header="0" w:footer="0" w:gutter="0"/>
      <w:cols w:space="425" w:num="1"/>
      <w:titlePg/>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汉仪大宋简">
    <w:altName w:val="宋体"/>
    <w:panose1 w:val="02010609000101010101"/>
    <w:charset w:val="86"/>
    <w:family w:val="modern"/>
    <w:pitch w:val="default"/>
    <w:sig w:usb0="00000000" w:usb1="00000000" w:usb2="00000002" w:usb3="00000000" w:csb0="0004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707AF2">
    <w:pPr>
      <w:pStyle w:val="3"/>
    </w:pPr>
    <w:r>
      <w:rPr>
        <w:sz w:val="18"/>
      </w:rPr>
      <w:drawing>
        <wp:anchor distT="0" distB="0" distL="114300" distR="114300" simplePos="0" relativeHeight="251659264" behindDoc="1" locked="0" layoutInCell="1" allowOverlap="1">
          <wp:simplePos x="0" y="0"/>
          <wp:positionH relativeFrom="margin">
            <wp:posOffset>-361315</wp:posOffset>
          </wp:positionH>
          <wp:positionV relativeFrom="margin">
            <wp:posOffset>-539750</wp:posOffset>
          </wp:positionV>
          <wp:extent cx="7559040" cy="10692130"/>
          <wp:effectExtent l="0" t="0" r="3810" b="13970"/>
          <wp:wrapNone/>
          <wp:docPr id="4" name="WordPictureWatermark37934" descr="理-背景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ordPictureWatermark37934" descr="理-背景6"/>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AEBE92">
    <w:pPr>
      <w:pStyle w:val="3"/>
    </w:pPr>
    <w:r>
      <w:rPr>
        <w:rFonts w:hint="eastAsia" w:ascii="黑体" w:hAnsi="黑体" w:eastAsia="黑体"/>
        <w:bCs/>
        <w:kern w:val="44"/>
        <w:sz w:val="18"/>
        <w:szCs w:val="18"/>
        <w:lang w:eastAsia="zh-CN"/>
      </w:rPr>
      <w:drawing>
        <wp:anchor distT="0" distB="0" distL="114300" distR="114300" simplePos="0" relativeHeight="251662336" behindDoc="0" locked="0" layoutInCell="1" allowOverlap="1">
          <wp:simplePos x="0" y="0"/>
          <wp:positionH relativeFrom="column">
            <wp:posOffset>647065</wp:posOffset>
          </wp:positionH>
          <wp:positionV relativeFrom="paragraph">
            <wp:posOffset>548005</wp:posOffset>
          </wp:positionV>
          <wp:extent cx="2762250" cy="539115"/>
          <wp:effectExtent l="0" t="0" r="0" b="13970"/>
          <wp:wrapNone/>
          <wp:docPr id="6" name="图片 1026"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026" descr="十四五国规标"/>
                  <pic:cNvPicPr>
                    <a:picLocks noChangeAspect="1"/>
                  </pic:cNvPicPr>
                </pic:nvPicPr>
                <pic:blipFill>
                  <a:blip r:embed="rId1"/>
                  <a:srcRect l="26001" t="46811" r="28865" b="46965"/>
                  <a:stretch>
                    <a:fillRect/>
                  </a:stretch>
                </pic:blipFill>
                <pic:spPr>
                  <a:xfrm>
                    <a:off x="0" y="0"/>
                    <a:ext cx="2762250" cy="539115"/>
                  </a:xfrm>
                  <a:prstGeom prst="rect">
                    <a:avLst/>
                  </a:prstGeom>
                  <a:noFill/>
                  <a:ln>
                    <a:noFill/>
                  </a:ln>
                </pic:spPr>
              </pic:pic>
            </a:graphicData>
          </a:graphic>
        </wp:anchor>
      </w:drawing>
    </w:r>
    <w:r>
      <w:drawing>
        <wp:anchor distT="0" distB="0" distL="114300" distR="114300" simplePos="0" relativeHeight="251660288" behindDoc="1" locked="0" layoutInCell="1" allowOverlap="1">
          <wp:simplePos x="0" y="0"/>
          <wp:positionH relativeFrom="column">
            <wp:posOffset>-396875</wp:posOffset>
          </wp:positionH>
          <wp:positionV relativeFrom="paragraph">
            <wp:posOffset>-48895</wp:posOffset>
          </wp:positionV>
          <wp:extent cx="7596505" cy="10727690"/>
          <wp:effectExtent l="0" t="0" r="4445" b="16510"/>
          <wp:wrapNone/>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2"/>
                  <a:stretch>
                    <a:fillRect/>
                  </a:stretch>
                </pic:blipFill>
                <pic:spPr>
                  <a:xfrm>
                    <a:off x="0" y="0"/>
                    <a:ext cx="7596505" cy="10727690"/>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26373EA"/>
    <w:multiLevelType w:val="multilevel"/>
    <w:tmpl w:val="226373EA"/>
    <w:lvl w:ilvl="0" w:tentative="0">
      <w:start w:val="1"/>
      <w:numFmt w:val="bullet"/>
      <w:lvlText w:val=""/>
      <w:lvlJc w:val="left"/>
      <w:pPr>
        <w:ind w:left="620" w:hanging="420"/>
      </w:pPr>
      <w:rPr>
        <w:rFonts w:hint="default" w:ascii="Wingdings" w:hAnsi="Wingdings"/>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abstractNum w:abstractNumId="1">
    <w:nsid w:val="41995340"/>
    <w:multiLevelType w:val="singleLevel"/>
    <w:tmpl w:val="41995340"/>
    <w:lvl w:ilvl="0" w:tentative="0">
      <w:start w:val="2"/>
      <w:numFmt w:val="chineseCounting"/>
      <w:suff w:val="nothing"/>
      <w:lvlText w:val="%1、"/>
      <w:lvlJc w:val="left"/>
      <w:rPr>
        <w:rFonts w:hint="eastAsia"/>
      </w:rPr>
    </w:lvl>
  </w:abstractNum>
  <w:abstractNum w:abstractNumId="2">
    <w:nsid w:val="46707C5C"/>
    <w:multiLevelType w:val="multilevel"/>
    <w:tmpl w:val="46707C5C"/>
    <w:lvl w:ilvl="0" w:tentative="0">
      <w:start w:val="1"/>
      <w:numFmt w:val="bullet"/>
      <w:lvlText w:val=""/>
      <w:lvlJc w:val="left"/>
      <w:pPr>
        <w:ind w:left="600" w:hanging="420"/>
      </w:pPr>
      <w:rPr>
        <w:rFonts w:hint="default" w:ascii="Wingdings" w:hAnsi="Wingdings"/>
      </w:rPr>
    </w:lvl>
    <w:lvl w:ilvl="1" w:tentative="0">
      <w:start w:val="1"/>
      <w:numFmt w:val="bullet"/>
      <w:lvlText w:val=""/>
      <w:lvlJc w:val="left"/>
      <w:pPr>
        <w:ind w:left="1020" w:hanging="420"/>
      </w:pPr>
      <w:rPr>
        <w:rFonts w:hint="default" w:ascii="Wingdings" w:hAnsi="Wingdings"/>
      </w:rPr>
    </w:lvl>
    <w:lvl w:ilvl="2" w:tentative="0">
      <w:start w:val="1"/>
      <w:numFmt w:val="bullet"/>
      <w:lvlText w:val=""/>
      <w:lvlJc w:val="left"/>
      <w:pPr>
        <w:ind w:left="1440" w:hanging="420"/>
      </w:pPr>
      <w:rPr>
        <w:rFonts w:hint="default" w:ascii="Wingdings" w:hAnsi="Wingdings"/>
      </w:rPr>
    </w:lvl>
    <w:lvl w:ilvl="3" w:tentative="0">
      <w:start w:val="1"/>
      <w:numFmt w:val="bullet"/>
      <w:lvlText w:val=""/>
      <w:lvlJc w:val="left"/>
      <w:pPr>
        <w:ind w:left="1860" w:hanging="420"/>
      </w:pPr>
      <w:rPr>
        <w:rFonts w:hint="default" w:ascii="Wingdings" w:hAnsi="Wingdings"/>
      </w:rPr>
    </w:lvl>
    <w:lvl w:ilvl="4" w:tentative="0">
      <w:start w:val="1"/>
      <w:numFmt w:val="bullet"/>
      <w:lvlText w:val=""/>
      <w:lvlJc w:val="left"/>
      <w:pPr>
        <w:ind w:left="2280" w:hanging="420"/>
      </w:pPr>
      <w:rPr>
        <w:rFonts w:hint="default" w:ascii="Wingdings" w:hAnsi="Wingdings"/>
      </w:rPr>
    </w:lvl>
    <w:lvl w:ilvl="5" w:tentative="0">
      <w:start w:val="1"/>
      <w:numFmt w:val="bullet"/>
      <w:lvlText w:val=""/>
      <w:lvlJc w:val="left"/>
      <w:pPr>
        <w:ind w:left="2700" w:hanging="420"/>
      </w:pPr>
      <w:rPr>
        <w:rFonts w:hint="default" w:ascii="Wingdings" w:hAnsi="Wingdings"/>
      </w:rPr>
    </w:lvl>
    <w:lvl w:ilvl="6" w:tentative="0">
      <w:start w:val="1"/>
      <w:numFmt w:val="bullet"/>
      <w:lvlText w:val=""/>
      <w:lvlJc w:val="left"/>
      <w:pPr>
        <w:ind w:left="3120" w:hanging="420"/>
      </w:pPr>
      <w:rPr>
        <w:rFonts w:hint="default" w:ascii="Wingdings" w:hAnsi="Wingdings"/>
      </w:rPr>
    </w:lvl>
    <w:lvl w:ilvl="7" w:tentative="0">
      <w:start w:val="1"/>
      <w:numFmt w:val="bullet"/>
      <w:lvlText w:val=""/>
      <w:lvlJc w:val="left"/>
      <w:pPr>
        <w:ind w:left="3540" w:hanging="420"/>
      </w:pPr>
      <w:rPr>
        <w:rFonts w:hint="default" w:ascii="Wingdings" w:hAnsi="Wingdings"/>
      </w:rPr>
    </w:lvl>
    <w:lvl w:ilvl="8" w:tentative="0">
      <w:start w:val="1"/>
      <w:numFmt w:val="bullet"/>
      <w:lvlText w:val=""/>
      <w:lvlJc w:val="left"/>
      <w:pPr>
        <w:ind w:left="3960" w:hanging="420"/>
      </w:pPr>
      <w:rPr>
        <w:rFonts w:hint="default" w:ascii="Wingdings" w:hAnsi="Wingdings"/>
      </w:rPr>
    </w:lvl>
  </w:abstractNum>
  <w:abstractNum w:abstractNumId="3">
    <w:nsid w:val="481D4CE2"/>
    <w:multiLevelType w:val="multilevel"/>
    <w:tmpl w:val="481D4CE2"/>
    <w:lvl w:ilvl="0" w:tentative="0">
      <w:start w:val="1"/>
      <w:numFmt w:val="bullet"/>
      <w:lvlText w:val=""/>
      <w:lvlJc w:val="left"/>
      <w:pPr>
        <w:ind w:left="620" w:hanging="420"/>
      </w:pPr>
      <w:rPr>
        <w:rFonts w:hint="default" w:ascii="Wingdings" w:hAnsi="Wingdings"/>
      </w:rPr>
    </w:lvl>
    <w:lvl w:ilvl="1" w:tentative="0">
      <w:start w:val="1"/>
      <w:numFmt w:val="bullet"/>
      <w:lvlText w:val=""/>
      <w:lvlJc w:val="left"/>
      <w:pPr>
        <w:ind w:left="1040" w:hanging="420"/>
      </w:pPr>
      <w:rPr>
        <w:rFonts w:hint="default" w:ascii="Wingdings" w:hAnsi="Wingdings"/>
      </w:rPr>
    </w:lvl>
    <w:lvl w:ilvl="2" w:tentative="0">
      <w:start w:val="1"/>
      <w:numFmt w:val="bullet"/>
      <w:lvlText w:val=""/>
      <w:lvlJc w:val="left"/>
      <w:pPr>
        <w:ind w:left="1460" w:hanging="420"/>
      </w:pPr>
      <w:rPr>
        <w:rFonts w:hint="default" w:ascii="Wingdings" w:hAnsi="Wingdings"/>
      </w:rPr>
    </w:lvl>
    <w:lvl w:ilvl="3" w:tentative="0">
      <w:start w:val="1"/>
      <w:numFmt w:val="bullet"/>
      <w:lvlText w:val=""/>
      <w:lvlJc w:val="left"/>
      <w:pPr>
        <w:ind w:left="1880" w:hanging="420"/>
      </w:pPr>
      <w:rPr>
        <w:rFonts w:hint="default" w:ascii="Wingdings" w:hAnsi="Wingdings"/>
      </w:rPr>
    </w:lvl>
    <w:lvl w:ilvl="4" w:tentative="0">
      <w:start w:val="1"/>
      <w:numFmt w:val="bullet"/>
      <w:lvlText w:val=""/>
      <w:lvlJc w:val="left"/>
      <w:pPr>
        <w:ind w:left="2300" w:hanging="420"/>
      </w:pPr>
      <w:rPr>
        <w:rFonts w:hint="default" w:ascii="Wingdings" w:hAnsi="Wingdings"/>
      </w:rPr>
    </w:lvl>
    <w:lvl w:ilvl="5" w:tentative="0">
      <w:start w:val="1"/>
      <w:numFmt w:val="bullet"/>
      <w:lvlText w:val=""/>
      <w:lvlJc w:val="left"/>
      <w:pPr>
        <w:ind w:left="2720" w:hanging="420"/>
      </w:pPr>
      <w:rPr>
        <w:rFonts w:hint="default" w:ascii="Wingdings" w:hAnsi="Wingdings"/>
      </w:rPr>
    </w:lvl>
    <w:lvl w:ilvl="6" w:tentative="0">
      <w:start w:val="1"/>
      <w:numFmt w:val="bullet"/>
      <w:lvlText w:val=""/>
      <w:lvlJc w:val="left"/>
      <w:pPr>
        <w:ind w:left="3140" w:hanging="420"/>
      </w:pPr>
      <w:rPr>
        <w:rFonts w:hint="default" w:ascii="Wingdings" w:hAnsi="Wingdings"/>
      </w:rPr>
    </w:lvl>
    <w:lvl w:ilvl="7" w:tentative="0">
      <w:start w:val="1"/>
      <w:numFmt w:val="bullet"/>
      <w:lvlText w:val=""/>
      <w:lvlJc w:val="left"/>
      <w:pPr>
        <w:ind w:left="3560" w:hanging="420"/>
      </w:pPr>
      <w:rPr>
        <w:rFonts w:hint="default" w:ascii="Wingdings" w:hAnsi="Wingdings"/>
      </w:rPr>
    </w:lvl>
    <w:lvl w:ilvl="8" w:tentative="0">
      <w:start w:val="1"/>
      <w:numFmt w:val="bullet"/>
      <w:lvlText w:val=""/>
      <w:lvlJc w:val="left"/>
      <w:pPr>
        <w:ind w:left="3980" w:hanging="420"/>
      </w:pPr>
      <w:rPr>
        <w:rFonts w:hint="default" w:ascii="Wingdings" w:hAnsi="Wingdings"/>
      </w:rPr>
    </w:lvl>
  </w:abstractNum>
  <w:num w:numId="1">
    <w:abstractNumId w:val="0"/>
  </w:num>
  <w:num w:numId="2">
    <w:abstractNumId w:val="2"/>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3,4"/>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2Y3MTdjMzQ0NDBmNGFlY2ZhNjlmNjM3NzlhNjc1MjcifQ=="/>
  </w:docVars>
  <w:rsids>
    <w:rsidRoot w:val="28A72C62"/>
    <w:rsid w:val="1B164230"/>
    <w:rsid w:val="28A72C62"/>
    <w:rsid w:val="41430C43"/>
    <w:rsid w:val="77A351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line="276" w:lineRule="auto"/>
      <w:jc w:val="both"/>
    </w:pPr>
    <w:rPr>
      <w:rFonts w:ascii="Times New Roman" w:hAnsi="Times New Roman" w:eastAsia="宋体" w:cs="Times New Roman"/>
      <w:lang w:val="en-US" w:eastAsia="zh-CN" w:bidi="ar-SA"/>
    </w:rPr>
  </w:style>
  <w:style w:type="character" w:default="1" w:styleId="5">
    <w:name w:val="Default Paragraph Font"/>
    <w:semiHidden/>
    <w:uiPriority w:val="0"/>
  </w:style>
  <w:style w:type="table" w:default="1" w:styleId="4">
    <w:name w:val="Normal Table"/>
    <w:semiHidden/>
    <w:uiPriority w:val="0"/>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customStyle="1" w:styleId="6">
    <w:name w:val="表文"/>
    <w:basedOn w:val="1"/>
    <w:qFormat/>
    <w:uiPriority w:val="0"/>
    <w:pPr>
      <w:spacing w:before="20" w:after="20" w:line="240" w:lineRule="auto"/>
      <w:ind w:firstLine="0"/>
    </w:pPr>
    <w:rPr>
      <w:rFonts w:ascii="Times New Roman" w:hAnsi="Times New Roman" w:eastAsia="微软雅黑"/>
      <w:sz w:val="18"/>
    </w:rPr>
  </w:style>
  <w:style w:type="paragraph" w:customStyle="1" w:styleId="7">
    <w:name w:val="正文17磅"/>
    <w:basedOn w:val="1"/>
    <w:qFormat/>
    <w:uiPriority w:val="0"/>
    <w:pPr>
      <w:widowControl w:val="0"/>
      <w:spacing w:after="0" w:line="340" w:lineRule="exact"/>
      <w:ind w:firstLine="425"/>
    </w:pPr>
    <w:rPr>
      <w:rFonts w:ascii="Times New Roman" w:hAnsi="Times New Roman"/>
      <w:kern w:val="2"/>
      <w:sz w:val="21"/>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theme" Target="theme/theme1.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numbering" Target="numbering.xml"/><Relationship Id="rId11" Type="http://schemas.openxmlformats.org/officeDocument/2006/relationships/customXml" Target="../customXml/item1.xml"/><Relationship Id="rId10" Type="http://schemas.openxmlformats.org/officeDocument/2006/relationships/image" Target="media/image6.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11</Pages>
  <Words>8529</Words>
  <Characters>8674</Characters>
  <Lines>0</Lines>
  <Paragraphs>0</Paragraphs>
  <TotalTime>0</TotalTime>
  <ScaleCrop>false</ScaleCrop>
  <LinksUpToDate>false</LinksUpToDate>
  <CharactersWithSpaces>8748</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2022-07-06T09:17:00Z</dcterms:created>
  <dc:creator>六月</dc:creator>
  <cp:lastModifiedBy>六月</cp:lastModifiedBy>
  <dcterms:modified xsi:type="dcterms:W3CDTF">2025-01-20T05:52:02Z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AFC115CFBCC9440698EDCDE6E8E93D90</vt:lpwstr>
  </property>
  <property fmtid="{D5CDD505-2E9C-101B-9397-08002B2CF9AE}" pid="4" name="KSOTemplateDocerSaveRecord">
    <vt:lpwstr>eyJoZGlkIjoiOTcxZjc4Y2ViNTBlZDVmZTI3YTAxZGE1NWVmM2E2NDEiLCJ1c2VySWQiOiI0MDMzMDA2MzYifQ==</vt:lpwstr>
  </property>
</Properties>
</file>