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44"/>
          <w:szCs w:val="44"/>
        </w:rPr>
      </w:pPr>
      <w:r>
        <w:rPr>
          <w:rFonts w:hint="eastAsia" w:ascii="黑体" w:eastAsia="黑体"/>
          <w:sz w:val="44"/>
          <w:szCs w:val="44"/>
        </w:rPr>
        <w:t>“多媒体课件制作培训班”工作总结汇报</w:t>
      </w:r>
    </w:p>
    <w:p>
      <w:pPr>
        <w:jc w:val="center"/>
        <w:rPr>
          <w:rFonts w:ascii="黑体" w:eastAsia="黑体"/>
          <w:sz w:val="44"/>
          <w:szCs w:val="44"/>
        </w:rPr>
      </w:pPr>
      <w:r>
        <w:rPr>
          <w:rFonts w:hint="eastAsia" w:ascii="黑体" w:eastAsia="黑体"/>
          <w:sz w:val="44"/>
          <w:szCs w:val="44"/>
        </w:rPr>
        <w:t>发言人：xxx</w:t>
      </w:r>
    </w:p>
    <w:p>
      <w:pPr>
        <w:rPr>
          <w:rFonts w:ascii="黑体" w:eastAsia="黑体"/>
          <w:sz w:val="32"/>
          <w:szCs w:val="32"/>
        </w:rPr>
      </w:pPr>
      <w:r>
        <w:rPr>
          <w:rFonts w:hint="eastAsia" w:ascii="黑体" w:eastAsia="黑体"/>
          <w:sz w:val="32"/>
          <w:szCs w:val="32"/>
        </w:rPr>
        <w:t>一、培训目的</w:t>
      </w:r>
    </w:p>
    <w:p>
      <w:pPr>
        <w:ind w:firstLine="560" w:firstLineChars="200"/>
        <w:rPr>
          <w:sz w:val="28"/>
          <w:szCs w:val="28"/>
        </w:rPr>
      </w:pPr>
      <w:r>
        <w:rPr>
          <w:rFonts w:hint="eastAsia"/>
          <w:sz w:val="28"/>
          <w:szCs w:val="28"/>
        </w:rPr>
        <w:t>在新一轮的学校发展和课程改革中，为使教师的教育观念和教学方法手段能适应教育现代化和实施素质教育的要求，按照教育局统一部署，根据各个学校教师教育教学的实际需要，我市举办的多媒体课件制作培训班圆满结束。</w:t>
      </w:r>
    </w:p>
    <w:p>
      <w:pPr>
        <w:rPr>
          <w:rFonts w:ascii="黑体" w:eastAsia="黑体"/>
          <w:sz w:val="32"/>
          <w:szCs w:val="32"/>
        </w:rPr>
      </w:pPr>
      <w:r>
        <w:rPr>
          <w:rFonts w:hint="eastAsia" w:ascii="黑体" w:eastAsia="黑体"/>
          <w:sz w:val="32"/>
          <w:szCs w:val="32"/>
        </w:rPr>
        <w:t>二、培训内容</w:t>
      </w:r>
    </w:p>
    <w:tbl>
      <w:tblPr>
        <w:tblStyle w:val="10"/>
        <w:tblW w:w="86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5"/>
        <w:gridCol w:w="1330"/>
        <w:gridCol w:w="1462"/>
        <w:gridCol w:w="1728"/>
        <w:gridCol w:w="1329"/>
        <w:gridCol w:w="1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2495" w:type="dxa"/>
            <w:gridSpan w:val="2"/>
            <w:shd w:val="clear" w:color="auto" w:fill="auto"/>
            <w:vAlign w:val="center"/>
          </w:tcPr>
          <w:p>
            <w:pPr>
              <w:jc w:val="center"/>
            </w:pPr>
            <w:r>
              <w:t>授课时间</w:t>
            </w:r>
          </w:p>
        </w:tc>
        <w:tc>
          <w:tcPr>
            <w:tcW w:w="1462" w:type="dxa"/>
            <w:shd w:val="clear" w:color="auto" w:fill="auto"/>
            <w:vAlign w:val="center"/>
          </w:tcPr>
          <w:p>
            <w:pPr>
              <w:jc w:val="center"/>
            </w:pPr>
            <w:r>
              <w:t>6.10~6.12日</w:t>
            </w:r>
          </w:p>
        </w:tc>
        <w:tc>
          <w:tcPr>
            <w:tcW w:w="1728" w:type="dxa"/>
            <w:shd w:val="clear" w:color="auto" w:fill="auto"/>
            <w:vAlign w:val="center"/>
          </w:tcPr>
          <w:p>
            <w:pPr>
              <w:jc w:val="center"/>
            </w:pPr>
            <w:r>
              <w:t>6.13~6.15日</w:t>
            </w:r>
          </w:p>
        </w:tc>
        <w:tc>
          <w:tcPr>
            <w:tcW w:w="1329" w:type="dxa"/>
            <w:shd w:val="clear" w:color="auto" w:fill="auto"/>
            <w:vAlign w:val="center"/>
          </w:tcPr>
          <w:p>
            <w:pPr>
              <w:jc w:val="center"/>
            </w:pPr>
            <w:r>
              <w:t>6.16~6.18日</w:t>
            </w:r>
          </w:p>
        </w:tc>
        <w:tc>
          <w:tcPr>
            <w:tcW w:w="1595" w:type="dxa"/>
            <w:shd w:val="clear" w:color="auto" w:fill="auto"/>
            <w:vAlign w:val="center"/>
          </w:tcPr>
          <w:p>
            <w:pPr>
              <w:jc w:val="center"/>
            </w:pPr>
            <w:r>
              <w:t>6.19~6.21日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1165" w:type="dxa"/>
            <w:vMerge w:val="restart"/>
            <w:shd w:val="clear" w:color="auto" w:fill="auto"/>
            <w:vAlign w:val="center"/>
          </w:tcPr>
          <w:p>
            <w:pPr>
              <w:jc w:val="center"/>
            </w:pPr>
            <w:r>
              <w:t>授课内容</w:t>
            </w:r>
          </w:p>
        </w:tc>
        <w:tc>
          <w:tcPr>
            <w:tcW w:w="1330" w:type="dxa"/>
            <w:shd w:val="clear" w:color="auto" w:fill="auto"/>
            <w:vAlign w:val="center"/>
          </w:tcPr>
          <w:p>
            <w:pPr>
              <w:jc w:val="center"/>
            </w:pPr>
            <w:r>
              <w:t>普及班</w:t>
            </w:r>
          </w:p>
        </w:tc>
        <w:tc>
          <w:tcPr>
            <w:tcW w:w="1462" w:type="dxa"/>
            <w:shd w:val="clear" w:color="auto" w:fill="auto"/>
            <w:vAlign w:val="center"/>
          </w:tcPr>
          <w:p>
            <w:pPr>
              <w:jc w:val="center"/>
            </w:pPr>
            <w:r>
              <w:t>计算机基础</w:t>
            </w:r>
          </w:p>
        </w:tc>
        <w:tc>
          <w:tcPr>
            <w:tcW w:w="1728" w:type="dxa"/>
            <w:shd w:val="clear" w:color="auto" w:fill="auto"/>
            <w:vAlign w:val="center"/>
          </w:tcPr>
          <w:p>
            <w:pPr>
              <w:jc w:val="center"/>
            </w:pPr>
            <w:r>
              <w:t>Powerpoint基础</w:t>
            </w:r>
          </w:p>
        </w:tc>
        <w:tc>
          <w:tcPr>
            <w:tcW w:w="1329" w:type="dxa"/>
            <w:shd w:val="clear" w:color="auto" w:fill="auto"/>
            <w:vAlign w:val="center"/>
          </w:tcPr>
          <w:p>
            <w:pPr>
              <w:jc w:val="center"/>
            </w:pPr>
            <w:r>
              <w:t>Powerpoint基础</w:t>
            </w:r>
          </w:p>
        </w:tc>
        <w:tc>
          <w:tcPr>
            <w:tcW w:w="1595" w:type="dxa"/>
            <w:shd w:val="clear" w:color="auto" w:fill="auto"/>
            <w:vAlign w:val="center"/>
          </w:tcPr>
          <w:p>
            <w:pPr>
              <w:jc w:val="center"/>
            </w:pPr>
            <w:r>
              <w:t>常用工具</w:t>
            </w:r>
          </w:p>
          <w:p>
            <w:pPr>
              <w:jc w:val="center"/>
            </w:pPr>
            <w:r>
              <w:t>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1165" w:type="dxa"/>
            <w:vMerge w:val="continue"/>
            <w:shd w:val="clear" w:color="auto" w:fill="auto"/>
            <w:vAlign w:val="center"/>
          </w:tcPr>
          <w:p>
            <w:pPr>
              <w:jc w:val="center"/>
            </w:pPr>
          </w:p>
        </w:tc>
        <w:tc>
          <w:tcPr>
            <w:tcW w:w="1330" w:type="dxa"/>
            <w:shd w:val="clear" w:color="auto" w:fill="auto"/>
            <w:vAlign w:val="center"/>
          </w:tcPr>
          <w:p>
            <w:pPr>
              <w:jc w:val="center"/>
            </w:pPr>
            <w:r>
              <w:t>提高班</w:t>
            </w:r>
          </w:p>
        </w:tc>
        <w:tc>
          <w:tcPr>
            <w:tcW w:w="1462" w:type="dxa"/>
            <w:shd w:val="clear" w:color="auto" w:fill="auto"/>
            <w:vAlign w:val="center"/>
          </w:tcPr>
          <w:p>
            <w:pPr>
              <w:jc w:val="center"/>
            </w:pPr>
            <w:r>
              <w:t>Flash基础</w:t>
            </w:r>
          </w:p>
        </w:tc>
        <w:tc>
          <w:tcPr>
            <w:tcW w:w="1728" w:type="dxa"/>
            <w:shd w:val="clear" w:color="auto" w:fill="auto"/>
            <w:vAlign w:val="center"/>
          </w:tcPr>
          <w:p>
            <w:pPr>
              <w:jc w:val="center"/>
            </w:pPr>
            <w:r>
              <w:t>Flash基础</w:t>
            </w:r>
          </w:p>
        </w:tc>
        <w:tc>
          <w:tcPr>
            <w:tcW w:w="1329" w:type="dxa"/>
            <w:shd w:val="clear" w:color="auto" w:fill="auto"/>
            <w:vAlign w:val="center"/>
          </w:tcPr>
          <w:p>
            <w:pPr>
              <w:jc w:val="center"/>
            </w:pPr>
            <w:r>
              <w:t>authorware</w:t>
            </w:r>
          </w:p>
        </w:tc>
        <w:tc>
          <w:tcPr>
            <w:tcW w:w="1595" w:type="dxa"/>
            <w:shd w:val="clear" w:color="auto" w:fill="auto"/>
            <w:vAlign w:val="center"/>
          </w:tcPr>
          <w:p>
            <w:pPr>
              <w:jc w:val="center"/>
            </w:pPr>
            <w:r>
              <w:t>常用工具</w:t>
            </w:r>
          </w:p>
          <w:p>
            <w:pPr>
              <w:jc w:val="center"/>
            </w:pPr>
            <w:r>
              <w:t>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165" w:type="dxa"/>
            <w:vMerge w:val="restart"/>
            <w:shd w:val="clear" w:color="auto" w:fill="auto"/>
            <w:vAlign w:val="center"/>
          </w:tcPr>
          <w:p>
            <w:pPr>
              <w:jc w:val="center"/>
            </w:pPr>
            <w:r>
              <w:t>授课老师</w:t>
            </w:r>
          </w:p>
        </w:tc>
        <w:tc>
          <w:tcPr>
            <w:tcW w:w="1330" w:type="dxa"/>
            <w:shd w:val="clear" w:color="auto" w:fill="auto"/>
            <w:vAlign w:val="center"/>
          </w:tcPr>
          <w:p>
            <w:pPr>
              <w:jc w:val="center"/>
            </w:pPr>
            <w:r>
              <w:t>普及班</w:t>
            </w:r>
          </w:p>
        </w:tc>
        <w:tc>
          <w:tcPr>
            <w:tcW w:w="1462" w:type="dxa"/>
            <w:shd w:val="clear" w:color="auto" w:fill="auto"/>
            <w:vAlign w:val="center"/>
          </w:tcPr>
          <w:p>
            <w:pPr>
              <w:jc w:val="center"/>
            </w:pPr>
            <w:r>
              <w:t>黄红波</w:t>
            </w:r>
          </w:p>
        </w:tc>
        <w:tc>
          <w:tcPr>
            <w:tcW w:w="1728" w:type="dxa"/>
            <w:shd w:val="clear" w:color="auto" w:fill="auto"/>
            <w:vAlign w:val="center"/>
          </w:tcPr>
          <w:p>
            <w:pPr>
              <w:jc w:val="center"/>
            </w:pPr>
            <w:r>
              <w:t>刘世英</w:t>
            </w:r>
          </w:p>
        </w:tc>
        <w:tc>
          <w:tcPr>
            <w:tcW w:w="1329" w:type="dxa"/>
            <w:shd w:val="clear" w:color="auto" w:fill="auto"/>
            <w:vAlign w:val="center"/>
          </w:tcPr>
          <w:p>
            <w:pPr>
              <w:jc w:val="center"/>
              <w:rPr>
                <w:rFonts w:hint="eastAsia" w:eastAsia="宋体"/>
                <w:lang w:eastAsia="zh-CN"/>
              </w:rPr>
            </w:pPr>
            <w:r>
              <w:rPr>
                <w:rFonts w:hint="eastAsia"/>
                <w:lang w:eastAsia="zh-CN"/>
              </w:rPr>
              <w:t>胡英杰</w:t>
            </w:r>
          </w:p>
        </w:tc>
        <w:tc>
          <w:tcPr>
            <w:tcW w:w="1595" w:type="dxa"/>
            <w:shd w:val="clear" w:color="auto" w:fill="auto"/>
            <w:vAlign w:val="center"/>
          </w:tcPr>
          <w:p>
            <w:pPr>
              <w:jc w:val="center"/>
              <w:rPr>
                <w:rFonts w:hint="eastAsia" w:eastAsia="宋体"/>
                <w:lang w:eastAsia="zh-CN"/>
              </w:rPr>
            </w:pPr>
            <w:r>
              <w:rPr>
                <w:rFonts w:hint="eastAsia"/>
                <w:lang w:eastAsia="zh-CN"/>
              </w:rPr>
              <w:t>任华丽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165" w:type="dxa"/>
            <w:vMerge w:val="continue"/>
            <w:shd w:val="clear" w:color="auto" w:fill="auto"/>
            <w:vAlign w:val="center"/>
          </w:tcPr>
          <w:p>
            <w:pPr>
              <w:jc w:val="center"/>
            </w:pPr>
          </w:p>
        </w:tc>
        <w:tc>
          <w:tcPr>
            <w:tcW w:w="1330" w:type="dxa"/>
            <w:shd w:val="clear" w:color="auto" w:fill="auto"/>
            <w:vAlign w:val="center"/>
          </w:tcPr>
          <w:p>
            <w:pPr>
              <w:jc w:val="center"/>
            </w:pPr>
            <w:r>
              <w:t>提高班</w:t>
            </w:r>
          </w:p>
        </w:tc>
        <w:tc>
          <w:tcPr>
            <w:tcW w:w="1462" w:type="dxa"/>
            <w:shd w:val="clear" w:color="auto" w:fill="auto"/>
            <w:vAlign w:val="center"/>
          </w:tcPr>
          <w:p>
            <w:pPr>
              <w:jc w:val="center"/>
              <w:rPr>
                <w:rFonts w:hint="eastAsia" w:eastAsia="宋体"/>
                <w:lang w:val="en-US" w:eastAsia="zh-CN"/>
              </w:rPr>
            </w:pPr>
            <w:r>
              <w:rPr>
                <w:rFonts w:hint="eastAsia"/>
                <w:lang w:val="en-US" w:eastAsia="zh-CN"/>
              </w:rPr>
              <w:t>李军旺</w:t>
            </w:r>
          </w:p>
        </w:tc>
        <w:tc>
          <w:tcPr>
            <w:tcW w:w="1728" w:type="dxa"/>
            <w:shd w:val="clear" w:color="auto" w:fill="auto"/>
            <w:vAlign w:val="center"/>
          </w:tcPr>
          <w:p>
            <w:pPr>
              <w:jc w:val="center"/>
              <w:rPr>
                <w:rFonts w:hint="eastAsia" w:eastAsia="宋体"/>
                <w:lang w:eastAsia="zh-CN"/>
              </w:rPr>
            </w:pPr>
            <w:r>
              <w:rPr>
                <w:rFonts w:hint="eastAsia"/>
                <w:lang w:eastAsia="zh-CN"/>
              </w:rPr>
              <w:t>兰凌云</w:t>
            </w:r>
          </w:p>
        </w:tc>
        <w:tc>
          <w:tcPr>
            <w:tcW w:w="1329" w:type="dxa"/>
            <w:shd w:val="clear" w:color="auto" w:fill="auto"/>
            <w:vAlign w:val="center"/>
          </w:tcPr>
          <w:p>
            <w:pPr>
              <w:jc w:val="center"/>
            </w:pPr>
            <w:r>
              <w:rPr>
                <w:rFonts w:hint="eastAsia"/>
                <w:lang w:eastAsia="zh-CN"/>
              </w:rPr>
              <w:t>黎亚红</w:t>
            </w:r>
          </w:p>
        </w:tc>
        <w:tc>
          <w:tcPr>
            <w:tcW w:w="1595" w:type="dxa"/>
            <w:shd w:val="clear" w:color="auto" w:fill="auto"/>
            <w:vAlign w:val="center"/>
          </w:tcPr>
          <w:p>
            <w:pPr>
              <w:jc w:val="center"/>
              <w:rPr>
                <w:rFonts w:hint="eastAsia" w:eastAsia="宋体"/>
                <w:lang w:eastAsia="zh-CN"/>
              </w:rPr>
            </w:pPr>
            <w:r>
              <w:rPr>
                <w:rFonts w:hint="eastAsia"/>
                <w:lang w:eastAsia="zh-CN"/>
              </w:rPr>
              <w:t>冯思垚</w:t>
            </w:r>
          </w:p>
        </w:tc>
      </w:tr>
    </w:tbl>
    <w:p>
      <w:pPr>
        <w:rPr>
          <w:rFonts w:ascii="黑体" w:eastAsia="黑体"/>
          <w:sz w:val="32"/>
          <w:szCs w:val="32"/>
        </w:rPr>
      </w:pPr>
      <w:r>
        <w:rPr>
          <w:rFonts w:hint="eastAsia" w:ascii="黑体" w:eastAsia="黑体"/>
          <w:sz w:val="32"/>
          <w:szCs w:val="32"/>
        </w:rPr>
        <w:t>三、教师风采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r>
        <w:rPr>
          <w:rFonts w:hint="eastAsia"/>
          <w:sz w:val="28"/>
          <w:szCs w:val="28"/>
        </w:rPr>
        <w:t>黄红波：计算机教授，工学硕士，网络信息中心主任，岳阳市巾帼英才。从教二十八年，一直从事计算机专业教学与研究，主持省市院级课题多项，发表论文二十多篇，主编</w:t>
      </w:r>
      <w:bookmarkStart w:id="0" w:name="_GoBack"/>
      <w:bookmarkEnd w:id="0"/>
      <w:r>
        <w:rPr>
          <w:rFonts w:hint="eastAsia"/>
          <w:sz w:val="28"/>
          <w:szCs w:val="28"/>
        </w:rPr>
        <w:t>十三五职业教育国家规划教材两本。多次参加教学竞赛或带领学生参加各项比赛获得国家级、省级奖励。</w:t>
      </w:r>
    </w:p>
    <w:p>
      <w:pPr>
        <w:ind w:firstLine="560" w:firstLineChars="200"/>
        <w:rPr>
          <w:rFonts w:hint="eastAsia"/>
          <w:sz w:val="28"/>
          <w:szCs w:val="28"/>
        </w:rPr>
      </w:pPr>
      <w:r>
        <w:rPr>
          <w:rFonts w:hint="eastAsia"/>
          <w:sz w:val="28"/>
          <w:szCs w:val="28"/>
        </w:rPr>
        <w:t>刘世英：计算机应用副教授，信息工程学院教研室主任，计算机考评员。从事计算机专业教学工作近三十年，多次评为“十佳教师”、“优秀班主任”、“优秀教师”，市政府2次授予“三等功”。是校内外各类岗位培训计算机的主讲教师，是职业教育教育教学评估与咨询专家，是省计算机应用技能抽查的评委。主持、参与课题多项，发表论文十多篇，参与书籍编写多套。</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rPr>
      </w:pPr>
    </w:p>
    <w:p>
      <w:pPr>
        <w:rPr>
          <w:rFonts w:ascii="黑体" w:eastAsia="黑体"/>
          <w:sz w:val="32"/>
          <w:szCs w:val="32"/>
        </w:rPr>
      </w:pPr>
      <w:r>
        <w:rPr>
          <w:rFonts w:hint="eastAsia" w:ascii="黑体" w:eastAsia="黑体"/>
          <w:sz w:val="32"/>
          <w:szCs w:val="32"/>
        </w:rPr>
        <w:t>四、学员风采</w:t>
      </w:r>
    </w:p>
    <w:p>
      <w:pPr>
        <w:numPr>
          <w:ilvl w:val="0"/>
          <w:numId w:val="1"/>
        </w:numPr>
        <w:rPr>
          <w:sz w:val="28"/>
          <w:szCs w:val="28"/>
        </w:rPr>
      </w:pPr>
      <w:r>
        <w:rPr>
          <w:rFonts w:hint="eastAsia"/>
          <w:sz w:val="28"/>
          <w:szCs w:val="28"/>
        </w:rPr>
        <w:t>优秀作品展示</w:t>
      </w:r>
    </w:p>
    <w:p>
      <w:pPr>
        <w:numPr>
          <w:ilvl w:val="0"/>
          <w:numId w:val="1"/>
        </w:numPr>
        <w:rPr>
          <w:sz w:val="28"/>
          <w:szCs w:val="28"/>
        </w:rPr>
      </w:pPr>
      <w:r>
        <w:rPr>
          <w:rFonts w:hint="eastAsia"/>
          <w:sz w:val="28"/>
          <w:szCs w:val="28"/>
        </w:rPr>
        <w:t>学员总结展示</w:t>
      </w:r>
    </w:p>
    <w:p>
      <w:pPr>
        <w:rPr>
          <w:rFonts w:ascii="黑体" w:eastAsia="黑体"/>
          <w:sz w:val="32"/>
          <w:szCs w:val="32"/>
        </w:rPr>
      </w:pPr>
      <w:r>
        <w:rPr>
          <w:rFonts w:hint="eastAsia" w:ascii="黑体" w:eastAsia="黑体"/>
          <w:sz w:val="32"/>
          <w:szCs w:val="32"/>
        </w:rPr>
        <w:t>五、培训总结</w:t>
      </w:r>
    </w:p>
    <w:p>
      <w:pPr>
        <w:ind w:firstLine="560" w:firstLineChars="200"/>
        <w:rPr>
          <w:sz w:val="28"/>
          <w:szCs w:val="28"/>
        </w:rPr>
      </w:pPr>
      <w:r>
        <w:rPr>
          <w:rFonts w:hint="eastAsia"/>
          <w:sz w:val="28"/>
          <w:szCs w:val="28"/>
        </w:rPr>
        <w:t>通过本次培训老师对课件制作产生了浓厚的兴趣，尤其是制作技巧有了质的提高。老师们在课件制作方面不在是零了，老师们敢于自己能手制作一些简单的课件。分组教学的模式和任务驱动的教学方法得到教师们的一致好评。分班组到好处是老带新，熟带生，培养合作意识。学员们到放学时间仍然坚持学习，尤其是一部分没在名额内的教师，虽然没报上名，但全程参与了培训，学习积极性高，对课件制作相当重视，精神可嘉。相信在不久的将来，我市教师的多媒体课件制作水平能更上一个新台阶。</w:t>
      </w:r>
    </w:p>
    <w:p>
      <w:pPr>
        <w:rPr>
          <w:rFonts w:ascii="黑体" w:eastAsia="黑体"/>
          <w:sz w:val="32"/>
          <w:szCs w:val="32"/>
        </w:rPr>
      </w:pPr>
      <w:r>
        <w:rPr>
          <w:rFonts w:hint="eastAsia" w:ascii="黑体" w:eastAsia="黑体"/>
          <w:sz w:val="32"/>
          <w:szCs w:val="32"/>
        </w:rPr>
        <w:t>六、存在不足</w:t>
      </w:r>
    </w:p>
    <w:p>
      <w:pPr>
        <w:numPr>
          <w:ilvl w:val="0"/>
          <w:numId w:val="2"/>
        </w:numPr>
        <w:ind w:left="0" w:leftChars="0" w:firstLine="980" w:firstLineChars="0"/>
        <w:rPr>
          <w:sz w:val="28"/>
          <w:szCs w:val="28"/>
        </w:rPr>
      </w:pPr>
      <w:r>
        <w:rPr>
          <w:rFonts w:hint="eastAsia"/>
          <w:sz w:val="28"/>
          <w:szCs w:val="28"/>
        </w:rPr>
        <w:t>在教学中，存在卫生、纪律难管理的现象，需要与相关学校加强配合，共同管理。</w:t>
      </w:r>
    </w:p>
    <w:p>
      <w:pPr>
        <w:numPr>
          <w:ilvl w:val="0"/>
          <w:numId w:val="2"/>
        </w:numPr>
        <w:ind w:left="0" w:leftChars="0" w:firstLine="980" w:firstLineChars="0"/>
        <w:rPr>
          <w:sz w:val="28"/>
          <w:szCs w:val="28"/>
        </w:rPr>
      </w:pPr>
      <w:r>
        <w:rPr>
          <w:rFonts w:hint="eastAsia"/>
          <w:sz w:val="28"/>
          <w:szCs w:val="28"/>
        </w:rPr>
        <w:t>停电一天，课程安排在后一天时间完成，时间紧任务重，效果不理想。</w:t>
      </w:r>
    </w:p>
    <w:p>
      <w:pPr>
        <w:numPr>
          <w:ilvl w:val="0"/>
          <w:numId w:val="2"/>
        </w:numPr>
        <w:ind w:left="0" w:leftChars="0" w:firstLine="980" w:firstLineChars="0"/>
        <w:rPr>
          <w:sz w:val="28"/>
          <w:szCs w:val="28"/>
        </w:rPr>
      </w:pPr>
      <w:r>
        <w:rPr>
          <w:rFonts w:hint="eastAsia"/>
          <w:sz w:val="28"/>
          <w:szCs w:val="28"/>
        </w:rPr>
        <w:t>老师在制作课件的目的上不明确，课件有的浮于形式。</w:t>
      </w:r>
    </w:p>
    <w:p>
      <w:pPr>
        <w:numPr>
          <w:ilvl w:val="0"/>
          <w:numId w:val="2"/>
        </w:numPr>
        <w:ind w:left="0" w:leftChars="0" w:firstLine="980" w:firstLineChars="0"/>
        <w:rPr>
          <w:sz w:val="28"/>
          <w:szCs w:val="28"/>
        </w:rPr>
      </w:pPr>
      <w:r>
        <w:rPr>
          <w:rFonts w:hint="eastAsia"/>
          <w:sz w:val="28"/>
          <w:szCs w:val="28"/>
        </w:rPr>
        <w:t>老师们学会了基本操作技能，但不能灵活运用到课件制作中。</w:t>
      </w:r>
    </w:p>
    <w:sectPr>
      <w:headerReference r:id="rId3" w:type="default"/>
      <w:pgSz w:w="11906" w:h="16838"/>
      <w:pgMar w:top="1440" w:right="1753" w:bottom="1440" w:left="17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D0FBF"/>
    <w:multiLevelType w:val="singleLevel"/>
    <w:tmpl w:val="1A6D0FBF"/>
    <w:lvl w:ilvl="0" w:tentative="0">
      <w:start w:val="1"/>
      <w:numFmt w:val="decimal"/>
      <w:lvlText w:val="%1."/>
      <w:lvlJc w:val="left"/>
      <w:pPr>
        <w:ind w:left="425" w:hanging="425"/>
      </w:pPr>
      <w:rPr>
        <w:rFonts w:hint="default"/>
      </w:rPr>
    </w:lvl>
  </w:abstractNum>
  <w:abstractNum w:abstractNumId="1">
    <w:nsid w:val="30D04FD1"/>
    <w:multiLevelType w:val="multilevel"/>
    <w:tmpl w:val="30D04FD1"/>
    <w:lvl w:ilvl="0" w:tentative="0">
      <w:start w:val="1"/>
      <w:numFmt w:val="bullet"/>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98B"/>
    <w:rsid w:val="00005AF7"/>
    <w:rsid w:val="0001548C"/>
    <w:rsid w:val="000C7928"/>
    <w:rsid w:val="000F74F7"/>
    <w:rsid w:val="00105584"/>
    <w:rsid w:val="00106416"/>
    <w:rsid w:val="00157D77"/>
    <w:rsid w:val="001B432C"/>
    <w:rsid w:val="001C1458"/>
    <w:rsid w:val="00206ADF"/>
    <w:rsid w:val="002169BD"/>
    <w:rsid w:val="002249A4"/>
    <w:rsid w:val="00252226"/>
    <w:rsid w:val="002B31EF"/>
    <w:rsid w:val="002B5F56"/>
    <w:rsid w:val="002E04DF"/>
    <w:rsid w:val="0030334A"/>
    <w:rsid w:val="00417A02"/>
    <w:rsid w:val="00443DEC"/>
    <w:rsid w:val="00447A28"/>
    <w:rsid w:val="00454BF2"/>
    <w:rsid w:val="004621AF"/>
    <w:rsid w:val="004B02A8"/>
    <w:rsid w:val="00510DF5"/>
    <w:rsid w:val="0056252A"/>
    <w:rsid w:val="005D5ABA"/>
    <w:rsid w:val="00620855"/>
    <w:rsid w:val="00644011"/>
    <w:rsid w:val="006B02BA"/>
    <w:rsid w:val="007146B0"/>
    <w:rsid w:val="00780CCA"/>
    <w:rsid w:val="00780FC7"/>
    <w:rsid w:val="00832D16"/>
    <w:rsid w:val="00867D0B"/>
    <w:rsid w:val="00953F61"/>
    <w:rsid w:val="00973612"/>
    <w:rsid w:val="00986BDA"/>
    <w:rsid w:val="00A53CAD"/>
    <w:rsid w:val="00A66EE2"/>
    <w:rsid w:val="00AA6819"/>
    <w:rsid w:val="00B66895"/>
    <w:rsid w:val="00BB236D"/>
    <w:rsid w:val="00BD7B1C"/>
    <w:rsid w:val="00BF7F20"/>
    <w:rsid w:val="00C2411E"/>
    <w:rsid w:val="00CB498B"/>
    <w:rsid w:val="00D21CFC"/>
    <w:rsid w:val="00E33293"/>
    <w:rsid w:val="00F54979"/>
    <w:rsid w:val="00F6561B"/>
    <w:rsid w:val="00F65ECC"/>
    <w:rsid w:val="00FA0B74"/>
    <w:rsid w:val="00FA7596"/>
    <w:rsid w:val="00FB692B"/>
    <w:rsid w:val="00FF064D"/>
    <w:rsid w:val="067B3758"/>
    <w:rsid w:val="07B63DD1"/>
    <w:rsid w:val="649001FB"/>
    <w:rsid w:val="72B51AF5"/>
    <w:rsid w:val="74BF5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qFormat="1"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5">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6">
    <w:name w:val="Plain Text"/>
    <w:basedOn w:val="1"/>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2">
    <w:name w:val="Table Theme"/>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3">
    <w:name w:val="Table Subtle 2"/>
    <w:basedOn w:val="10"/>
    <w:qFormat/>
    <w:uiPriority w:val="0"/>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4">
    <w:name w:val="Table List 2"/>
    <w:basedOn w:val="10"/>
    <w:uiPriority w:val="0"/>
    <w:pPr>
      <w:widowControl w:val="0"/>
      <w:jc w:val="both"/>
    </w:pPr>
    <w:tblPr>
      <w:tblBorders>
        <w:bottom w:val="single" w:color="808080" w:sz="12" w:space="0"/>
      </w:tblBorders>
      <w:tblCellMar>
        <w:top w:w="0" w:type="dxa"/>
        <w:left w:w="108" w:type="dxa"/>
        <w:bottom w:w="0" w:type="dxa"/>
        <w:right w:w="108" w:type="dxa"/>
      </w:tblCellMar>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paragraph" w:customStyle="1" w:styleId="16">
    <w:name w:val="样式 标题 4 + 小四"/>
    <w:basedOn w:val="5"/>
    <w:qFormat/>
    <w:uiPriority w:val="0"/>
    <w:pPr>
      <w:spacing w:before="0" w:after="0" w:line="240" w:lineRule="auto"/>
      <w:ind w:firstLine="200" w:firstLineChars="200"/>
    </w:pPr>
    <w:rPr>
      <w:b w:val="0"/>
      <w:sz w:val="24"/>
    </w:rPr>
  </w:style>
  <w:style w:type="paragraph" w:customStyle="1" w:styleId="17">
    <w:name w:val="样式 样式 标题 4 + 小四 + 首行缩进:  2 字符"/>
    <w:basedOn w:val="16"/>
    <w:qFormat/>
    <w:uiPriority w:val="0"/>
    <w:pPr>
      <w:spacing w:line="360" w:lineRule="auto"/>
    </w:pPr>
    <w:rPr>
      <w:rFonts w:eastAsia="宋体" w:cs="宋体"/>
      <w:bCs w:val="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142</Words>
  <Characters>812</Characters>
  <Lines>6</Lines>
  <Paragraphs>1</Paragraphs>
  <TotalTime>0</TotalTime>
  <ScaleCrop>false</ScaleCrop>
  <LinksUpToDate>false</LinksUpToDate>
  <CharactersWithSpaces>953</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2014-05-11T21:58:00Z</dcterms:created>
  <dc:creator>jajabinks</dc:creator>
  <cp:lastModifiedBy>轩轩</cp:lastModifiedBy>
  <dcterms:modified xsi:type="dcterms:W3CDTF">2021-12-24T04:15:58Z</dcterms:modified>
  <dc:title>2011年多媒体课件制作培训工作总结</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