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b/>
          <w:bCs/>
          <w:color w:val="0000FF"/>
          <w:sz w:val="72"/>
          <w:szCs w:val="72"/>
          <w:lang w:eastAsia="zh-CN"/>
          <w14:textFill>
            <w14:gradFill>
              <w14:gsLst>
                <w14:gs w14:pos="0">
                  <w14:srgbClr w14:val="D9717D"/>
                </w14:gs>
                <w14:gs w14:pos="100000">
                  <w14:srgbClr w14:val="E32E37"/>
                </w14:gs>
              </w14:gsLst>
              <w14:lin w14:scaled="1"/>
            </w14:gradFill>
          </w14:textFill>
        </w:rPr>
      </w:pPr>
      <w:r>
        <w:rPr>
          <w:rFonts w:hint="eastAsia" w:ascii="Times New Roman" w:hAnsi="Times New Roman"/>
          <w:b/>
          <w:bCs/>
          <w:color w:val="0000FF"/>
          <w:sz w:val="56"/>
          <w:szCs w:val="56"/>
          <w:lang w:eastAsia="zh-CN"/>
          <w14:textFill>
            <w14:gradFill>
              <w14:gsLst>
                <w14:gs w14:pos="0">
                  <w14:srgbClr w14:val="D9717D"/>
                </w14:gs>
                <w14:gs w14:pos="100000">
                  <w14:srgbClr w14:val="E32E37"/>
                </w14:gs>
              </w14:gsLst>
              <w14:lin w14:scaled="1"/>
            </w14:gradFill>
          </w14:textFill>
        </w:rPr>
        <w:t>《基础会计（第二版）》教案</w:t>
      </w:r>
    </w:p>
    <w:p>
      <w:pPr>
        <w:keepNext/>
        <w:keepLines/>
        <w:spacing w:before="260" w:after="260" w:line="416" w:lineRule="atLeast"/>
        <w:jc w:val="center"/>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40"/>
          <w:szCs w:val="40"/>
          <w:lang w:eastAsia="zh-CN"/>
          <w14:textFill>
            <w14:solidFill>
              <w14:schemeClr w14:val="tx1"/>
            </w14:solidFill>
          </w14:textFill>
        </w:rPr>
        <w:t>课时分配表</w:t>
      </w:r>
    </w:p>
    <w:tbl>
      <w:tblPr>
        <w:tblStyle w:val="10"/>
        <w:tblW w:w="80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4166"/>
        <w:gridCol w:w="1372"/>
        <w:gridCol w:w="1600"/>
      </w:tblGrid>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166"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1372"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op w:val="single" w:color="C0504D" w:sz="8" w:space="0"/>
              <w:left w:val="dotted" w:color="auto" w:sz="4" w:space="0"/>
              <w:bottom w:val="single" w:color="C0504D" w:sz="8" w:space="0"/>
              <w:right w:val="single" w:color="C0504D" w:sz="8"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会计与会计职业认知</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会计的工作程序与方法</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原始凭证</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记账凭证与企业经济业务的核算</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账簿的设置与登记</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对账和结账</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财务报表的编制</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会计档案</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1</w:t>
      </w:r>
      <w:r>
        <w:rPr>
          <w:rFonts w:hint="eastAsia" w:ascii="Times New Roman" w:hAnsi="Times New Roman"/>
          <w:b/>
          <w:bCs/>
          <w:sz w:val="28"/>
          <w:szCs w:val="28"/>
        </w:rPr>
        <w:t>课  会计与会计职业认知</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会计与会计职业认知</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szCs w:val="20"/>
                <w:lang w:val="en-US" w:eastAsia="zh-CN"/>
              </w:rPr>
              <w:t>8</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360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理解会计的基本概念、会计的对象和会计目标。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掌握会计的基本职能、会计假设和会计信息的质量要求。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会计与会计职业认知</w:t>
            </w:r>
            <w:r>
              <w:rPr>
                <w:rFonts w:hint="eastAsia" w:ascii="Times New Roman" w:hAnsi="宋体"/>
                <w:bCs/>
                <w:szCs w:val="20"/>
              </w:rPr>
              <w:t>，学习和宣传党的二十大报告精神，通过对会计与会计职业认知，坚定会计从业信念，牢记职业操守和职业精神。</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会计认知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会计假设与会计信息的质量要求</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展示会计认知（一）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一、会计的概念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会计是以货币为主要计量单位，利用专门的程序和方法反映和监督一个单位经济活动的一种经济管理活动。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会计作为一种管理活动，是适应社会生产的发展和经济管理的要求而产生和发展起来的。会计是记录、解释、描述和报告经济活动的系统，因而会计被称为“商业语言”。会计通过记录、分类、汇总和分析经济数据，为投资者、管理者、政府和社会公众等利益关系人提供财务信息，为他们进行经济决策提供依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二、会计的对象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会计的对象是指会计核算和监督的内容，即会计工作的客体。由于会计需要以货币为主要计量单位，对特定会计主体的经济活动进行核算和监督，因此，凡是特定单位能够以货币表现的经济活动，都是会计核算和监督的内容，也就是会计的对象。以货币表现的经济活动，通常被称为价值运动或资金运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由于不同单位经济活动的具体内容不同，资金运动的形式和内容也不尽相同。以制造业企业为例，工业企业为了进行生产经营活动，必须拥有一定的财产物资作为物质基础，工业企业资金运动的起点是资金的投入。投资人向企业投入的资本金是企业进行生产经营活动的启动资金；在生产经营过程中，企业还可以向银行等金融机构借入款项。工业企业进行生产经营活动可以分为供应过程、生产过程和销售过程三个主要阶段。首先要用货币资金去购买生产设备和材料物资为生产过程做准备，然后将其投入到企业生产过程中生产出产品，最后还要将所生产出来的产品对外出售并收回相应的货币资金。在这个过程中，资金会经历“货币资金→储备资金→生产资金→货币资金”的过程。工业企业因资金的投入、循环周转和资金的退出等经济活动而引起的各项财产和资源的增减变化情况，以及企业销售收入的取得和企业利润的实现、分配情况，构成了工业企业会计的具体对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研究会计对象的目的，是要明确会计在经济管理中的活动范围，从而确定会计的任务，建立和发展会计的方法体系。</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展示会计认知（一）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简述会计的对象。</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展示会计认知（</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三、会计的目标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会计的目标是指通过会计工作所要达到的目的和要求。会计目标可以分为基本目标和具体目标两个层次。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会计的基本目标包括以下内容。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（1）向财务报告使用者提供有用的决策信息。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（2）反映企业管理层受托责任的履行情况。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会计的具体目标包括以下内容。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（1）为国家宏观经济管理提供会计信息。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（2）为企业内部经营管理提供会计信息。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（3）为企业外部各有关方面提供会计信息。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四、会计的基本职能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的职能是指会计在经济管理中所具有的功能。在社会经济发展的不同时期，会计的职能具有不同的特点，经济越发展，会计的职能越丰富。而会计的基本职能是由会计的本质所决定的，具有客观性和相对稳定性。《中华人民共和国会计法》（以下简称《会计法》）对会计的基本职能表达为：会计核算与会计监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（一）会计核算职能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会计核算职能是指会计以货币为主要计量单位，通过确认、记录、计算、报告等环节，对特定主体的经济活动进行记账、算账、报账，为各有关方面提供会计信息的功能。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记账就是把一个单位一定时期内发生的所有经济业务，运用一定的记账方法在账簿上记录和反映的过程。算账是在记账的基础上，运用会计核算的专门方法和程序计算反映企业的经济活动和经营成果的过程。报账是在记账和算账的基础上，将企业的财务状况和经营成果，或行政事业单位的资金收支状况，通过编制财务报告的方式向有关部门和有经济利益关系的报表使用者提供财务信息的过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会计核算是会计工作的基础。在我国，会计核算必须遵守《会计法》和有关财务制度的规定，符合有关会计准则和会计制度的要求，力求会计资料真实、正确、完整，从而保证会计信息的质量。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（二）会计监督职能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监督职能是指会计人员在进行会计核算的同时，以国家的财经法规、政策、制度、纪律和会计信息为依据，对特定主体经济活动的合法性、合理性进行审查，以保障会计信息的真实性、完整性和有效性。合法性监督主要是审查经济活动是否符合国家的相关政策和法律法规，保障单位发生的经济活动在法律允许的范围内进行；合理性监督主要是审核、检查经济活动在正常或特定的情况下是否应该发生，是否符合经济管理的原则和原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的核算职能和监督职能是紧密联系、相辅相成的。会计核算是会计监督的基础，会计核算为会计监督提供可靠的数据和资料，没有会计核算就无法进行会计监督；会计监督是会计核算的质量保障，只有严格地进行会计监督，才能保障会计核算的客观性，会计核算所提供的数据才能在经济管理中发挥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通过教师讲解，了解会计认知（</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会计认知（</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，让学生知道合法性监督主要是审查经济活动是否符合国家的相关政策和法律法规，保障单位发生的经济活动在法律允许的范围内进行</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简述会计监督职能。</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77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展示会计假设与会计信息的质量要求</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一、会计假设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假设也称为会计核算的基本前提，是指在特定的经济环境中，根据以往的会计实践和理论，对会计领域中尚未肯定的事项所做出的合乎情理的假说或设想。会计基本假设是企业会计确认、计量和报告的前提，是对会计核算所处的时间、空间环境等所做的合理设定。会计基本假设包括会计主体、持续经营、会计分期和货币计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（一）会计主体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主体，是指会计工作服务的特定单位，是企业会计确认、计量和报告的空间范围。明确会计主体，才能划定会计所要处理的各项交易或事项的范围。在会计工作中，只有那些影响企业本身经济利益的各项交易或事项才能加以确认、计量和报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会计主体必须具备以下三个条件。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（1）具有一定数量的经济资源。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（2）能够进行独立的生产经营活动或其他活动。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（3）实行独立核算，提供反映本主体经济情况的会计报表。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需要注意的是会计主体不同于法律主体。一般来说，法律主体必然是一个会计主体，但是，会计主体不一定是法律主体。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（二）持续经营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持续经营，是指会计主体的生产经营活动将无期限持续下去，在可以预见的将来不会倒闭、进行破产清算。会计确认、计量和报告应当以企业持续、正常的生产经营活动为前提。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持续经营的前提下，意味着会计主体将按照既定用途使用资产，按照既定的合约条件清偿债务。会计人员就可以在此基础上选择会计原则和会计方法；企业的资产才能以历史成本计价而不以现行成本和清算价格计价，才有必要和可能进行会计分期，并为采用权责发生制奠定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（三）会计分期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分期，是指将一个企业持续经营的生产经营活动划分为一个个连续的、长短相同的期间。会计分期的目的在于通过会计期间的划分，将持续经营的生产经营活动划分成连续的、相等的期间，据以结算盈亏，按期编制财务报告，从而及时向财务报告使用者提供有关企业财务状况、经营成果和现金流量的信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我国会计年度是自公历 1 月 1 日起到 12 月 31 日止，会计期间分为年度、半年度、季度和月度，且均按公历起讫日期确定。半年度、季度和月度称为会计中期。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（四）货币计量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货币计量，是指企业在会计核算中要以货币为统一的、主要的计量单位，记录和反映企业生产经营过程和经营成果。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法》规定会计核算以人民币为记账本位币，业务收支以人民币以外的货币为主的单位，可以选定其中一种外币作为记账本位币，但是编报的财务会计报表应当折算为人民币。在以货币作为主要计量单位的同时，有必要也应当以实物量度和劳动量度作为补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通过教师讲解，了解会计假设与会计信息的质量要求（一）的基本理论知识。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会计假设与会计信息的质量要求（一）</w:t>
            </w:r>
            <w:r>
              <w:rPr>
                <w:rFonts w:hint="eastAsia" w:ascii="宋体" w:hAnsi="宋体" w:cs="宋体"/>
                <w:b/>
                <w:bCs w:val="0"/>
                <w:kern w:val="0"/>
                <w:sz w:val="21"/>
                <w:szCs w:val="21"/>
                <w:lang w:val="en-US" w:eastAsia="zh-CN" w:bidi="ar"/>
              </w:rPr>
              <w:t>，让学生知道我国会计年度是自公历 1 月 1 日起到 12 月 31 日止，会计期间分为年度、半年度、季度和月度，且均按公历起讫日期确定。</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简述会计假设。</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展示会计假设与会计信息的质量要求（</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二、会计信息的质量要求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信息质量要求是对企业财务报告中所提供会计信息质量的基本要求，是使财务报告中所提供的会计信息对投资者等使用者决策有用应具备的基本特征，它主要包括可靠性、相关性、可理解性、可比性、实质重于形式、重要性、谨慎性和及时性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（一）可靠性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可靠性要求企业应当以实际发生的交易或事项为依据进行确认、计量和报告，如实反映符合确认和计量要求的各项会计要素及其他相关信息，保证会计信息真实可靠、内容完整。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会计信息要有用，必须以可靠为基础，如果财务报告所提供的会计信息是不可靠的，就会给投资者、债权人和其他会计信息使用者的决策产生误导甚至损失。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（二）相关性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相关性要求企业提供的会计信息应当与投资者等财务报告使用者的经济决策需要相关，有助于投资者等财务报告使用者对企业过去、现在或未来的情况做出评价或者预测。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相关的会计信息应当能够有助于使用者评价企业过去的决策，证实或者修正过去的有关预测，因而具有反馈价值。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（三）可理解性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可理解性要求企业提供的会计信息应当清晰明了，便于财务报告使用者理解和使用。企业编制财务报告、提供会计信息的目的在于使财务报告使用者有效使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right="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用会计信息，这就要求会计工作者在财务报告中所提供的会计信息清晰明了，易于理解。只有这样，才能提高会计信息的有用性，实现财务报告的目标，满足向投资者等财务报告使用者提供决策有用信息的要求。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（四）可比性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可比性要求企业提供的会计信息应当相互可比。这主要包括以下两层含义。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（1）同一企业不同时期发生的相同或者相似的交易或事项，应当采用一致的会计政策，不得随意变更。如果确实需要变更的，应当在附注中加以说明。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（2）不同企业发生的相同或者相似的交易或事项，应当采用规定的会计政策，确保会计信息口径一致，相互可比。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可比性的要求并不意味着企业所选择的会计核算方法不能作任何变更，在符合一定条件的情况下，企业可以变更会计核算方法，但应在企业财务报告中作相应披露。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（五）实质重于形式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实质重于形式要求企业应当按照交易或事项的经济实质进行会计确认、计量和报告，不仅仅以交易或事项的法律形式为依据。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发生的交易或事项在多数情况下，其经济实质和法律形式是一致的。但在有些情况下，会出现不一致。例如，以融资租赁方式租入的资产，虽然从法律形式来讲企业并不拥有其所有权，但是由于租赁合同中规定的租赁期相当长，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right="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近于该资产的使用寿命；租赁期结束时承租企业有优先购买该资产的选择权；在租赁期内承租企业有权支配资产并从中受益。因此，从其经济实质来看，企业能够控制融资租入的资产所创造的未来经济利益，在会计确认、计量和报告上就应当将以融资租赁方式租入的资产视为企业的资产，列入企业的资产负债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又如，企业按照销售合同销售商品但又签订了售后回购协议，虽然从法律形式上实现了收入，但如果企业没有将商品所有权的主要风险和报酬转移给购货方，没有满足收入确认的各项条件，即使签订了商品销售合同或者已将商品交付给购货方，也不应当确认销售收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（六）重要性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重要性要求企业提供的会计信息应当反映与企业财务状况、经营成果和现金流量有关的所有重要交易或者事项。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重要性的应用需要依赖职业判断，企业应当根据其所处环境和实际情况，从项目的性质和金额大小两方面加以判断。在实务中，如果会计信息的省略或者错报会影响投资者等财务报告使用者据此做出决策的，该信息就具有重要性。对重要的会计事项应当单独核算、单独反映，而对不重要的会计事项则可以适当简化或者是合并反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（七）谨慎性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谨慎性要求企业对交易或事项进行会计确认、计量和报告时应当保持应有的谨慎，不应高估资产或者收益、低估负债或者费用。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照谨慎性的要求，在处理不确定的会计事项时，企业应充分估计到各种风险和损失。如应收款项有收不回来的可能性、售出商品有可能发生退货或者返修等。企业对可能发生的资产减值损失计提资产减值准备、对售出商品可能发生的保修义务确认预计负债等，就体现了会计信息质量的谨慎性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谨慎性的应用不允许企业设置秘密准备，如果企业故意低估资产或者收益，或者故意高估负债或者费用，将不符合会计信息的可靠性和相关性要求，降低会计信息质量，扭曲企业实际的财务状况和经营成果，从而对使用者的决策产生误导，这是会计准则所不允许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（八）及时性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及时性要求企业对于已经发生的交易或事项，应当及时进行确认、计量和报告，不得提前或者延后。会计信息的价值在于帮助所有者或者其他方面做出经济决策，具有时效性。即使是可靠、相关的会计信息，如果不及时提供，就失去了时效性，对于使用者的效用就大大降低，甚至不再具有实际意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三、权责发生制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权责发生制是指企业应按收入的权利和支出的义务是否属于本期来确认收入和费用的入账时间，按权利和责任是否发生来确认收入和费用的归属期，而不是按款项的收支是否在本期发生来确认收入和费用。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具体地说，凡本期已经实现的收入和已经发生或应当负担的费用，不论款项是否收付，都应作为本期的收入和费用入账；否则，即使款项已在本期收付，也不作为本期的收入和费用处理。企业应当以权责发生制为基础进行会计确认、计量和报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通过教师讲解，了解会计假设与会计信息的质量要求（</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会计假设与会计信息的质量要求（</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，让学生知道及时性要求企业对于已经发生的交易或事项，应当及时进行确认、计量和报告，不得提前或者延后。</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简述权责发生制。</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76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展示会计职业认知</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一、会计机构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机构，是指单位内部所设置的专门办理会计事项的机构。《会计法》第三十六条明确规定：各单位应当根据会计业务的需要，设置会计机构，或者在有关机构中设置会计人员并指定会计主管人员；不具备设置条件的，应当委托经批准设立从事会计代理记账业务的中介机构代理记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设置会计机构，要与企业管理体制和企业组织结构相适应。一般而言，除了那些规模小、业务简单而不需要设立专门会计机构的单位外，所有的企业单位都必须设置会计机构。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会计机构的组织形式是由企业的规模和它所担负的任务决定的。在实际工作中，会计核算有两种形式：一种是集中核算形式，另一种是分散核算形式。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集中核算形式，是指企业的主要会计工作都集中在财务会计部门进行 , 单位会计部门要完成企业经济业务的明细核算、总分类核算、会计报表编制和各有关项目的考核分析等工作；其他职能部门、车间、仓库的会计组织或会计人员只负责登记原始记录和填制原始凭证。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分散核算形式也称非集中核算形式，在非集中核算组织形式下，某些业务的凭证整理、明细核算、适应企业单位日常管理需要的内部报表的编制与分析等分散到各个从事该项业务的车间、部门进行；而单位会计部门集中进行总分类核算和全厂的会计报表的编制与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在实际工作中，有的企业往往对某些会计业务采用集中核算形式，而对另一些业务又采用非集中核算形式。但无论采用哪种形式，企业对外的现金往来、物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right="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资购销、债权债务的结算都应由公司财务部门集中办理。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二、会计工作岗位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工作岗位，是指一个单位会计机构内部根据业务分工而设置的职能岗位。在会计机构内部设置会计工作岗位，有利于明确分工和确定岗位职责，提高会计工作效率和质量；有利于会计工作的程序化和规范化；还有利于强化会计管理职能，提高会计工作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设置的会计工作岗位可以有：总会计师（或行使总会计师职权）岗位，会计机构负责人（或会计主管人员）岗位，出纳岗位，稽核岗位，资本、基金核算岗位，收入、支出、债权债务核算岗位，工资核算、成本费用核算、财务成果核算岗位，财产物资的收发、增减核算岗位，总账岗位，对外财务会计报告编制岗位，会计电算化岗位和会计档案管理岗位。对于会计档案管理岗位，在会计档案正式移交之前，属于会计工作岗位；正式移交档案管理部门之后，不再属于会计工作岗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会计工作岗位可以一人一岗、一人多岗或者一岗多人。但出纳人员不得兼管稽核、会计档案保管和收入、费用、债权债务账目的登记工作。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通过教师讲解，了解会计职业认知（一）的基本理论知识。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会计职业认知（一）</w:t>
            </w:r>
            <w:r>
              <w:rPr>
                <w:rFonts w:hint="eastAsia" w:ascii="宋体" w:hAnsi="宋体" w:cs="宋体"/>
                <w:b/>
                <w:bCs w:val="0"/>
                <w:kern w:val="0"/>
                <w:sz w:val="21"/>
                <w:szCs w:val="21"/>
                <w:lang w:val="en-US" w:eastAsia="zh-CN" w:bidi="ar"/>
              </w:rPr>
              <w:t>，让学生知道正式移交档案管理部门之后，不再属于会计工作岗位。</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简述会计工作岗位。</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展示会计职业认知（</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三、会计职业规划</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社会经济的发展和财务管理的规范化，社会上各种企事业单位对会计的需求也在大大增加，会计已经成为各行业中的一个热门专业。全国数百所高校中几乎每个学校都设有会计专业，每年都有成千上万的会计专业大学毕业生涌入人才市场，在这种现状下普通和初级财务人员明显供大于求，但高端财务会计人才却千金难觅。面临这种现状，当代大学生应该好好筹谋自己的发展，做好合理的职业规划。</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（一）从学生到职业人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毕业后前三年的时间，着重放在基础工作的夯实上。全面、扎实地做好本职工作，认真研究本行业的特点，养成良好的学习、工作和生活习惯；学会有效地沟通，培养自己的职业人意识。这些基础知识对以后发展具有决定性作用，这也是实现从一个学生到职业人转变的重要条件。一个职业人，最基本的职业素养就是职业化、职业诚信以及职业口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（二）从普通会计到财务经理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经理是专业性较强的工作。财务经理不但要有丰富的专业知识，还要懂得代理记账的业务，熟悉企业全面的经营管理工作，并积极介入企业各项决策。做一个现代的财务经理必须掌握更全面的知识：基本的理财能力、沟通能力、领导能力、财务决策能力、协作能力、时间管理能力、创新能力、学习总结能力等。一个优秀的财务经理首先是此领域的专家，其次是一个优秀的管理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（三）从财务经理到财务总监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务总监要全面管理和领导企业财务工作，为企业盈利提供理性的决策依据，对企业的财务工作承担主要责任。财务总监作为财务领域的高层次人才，必须具备管理和领导财务工作的能力。这些能力可以体现为：财务组织建设能力、企业内控建设能力、筹措资金能力、投资分析决策和管理能力、税务筹划能力、财务预算能力、成本费用控制能力、分析能力、财务外事能力、财务预警能力和社会资源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潜能的培养依赖于长远的志向，而潜能的发掘在于机会。职业规划可能会把一些稍纵即逝的机会留住，从而实现自己的人生目标。虽然光靠职业规划是不够的，但是没有职业规划的道路一定行之不远。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通过教师讲解，了解会计职业认知（</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会计职业认知（</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，让学生知道潜能的培养依赖于长远的志向，而潜能的发掘在于机会。</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简述会计职业规划。</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实训（一）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一、单项选择题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下列关于会计对象的说法中不正确的是（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会计的对象是会计所核算和监督的内容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会计的对象是特定单位能够以货币表现的经济活动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会计的对象是特定单位所有的经济活动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会计的对象是特定单位的价值运动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下列不属于对会计信息质量要求的是（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重要性</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谨慎性</w:t>
            </w:r>
            <w:r>
              <w:rPr>
                <w:rFonts w:hint="eastAsia" w:ascii="宋体" w:hAnsi="宋体" w:eastAsia="宋体" w:cs="宋体"/>
                <w:b w:val="0"/>
                <w:bCs/>
                <w:color w:val="000000"/>
                <w:kern w:val="2"/>
                <w:sz w:val="21"/>
                <w:szCs w:val="21"/>
                <w:lang w:val="en-US" w:eastAsia="zh-CN" w:bidi="ar"/>
              </w:rPr>
              <w:tab/>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可比性</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权责发生制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确立会计核算空间范围所依据的会计基本假设是（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会计主体</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持续经营</w:t>
            </w:r>
            <w:r>
              <w:rPr>
                <w:rFonts w:hint="eastAsia" w:ascii="宋体" w:hAnsi="宋体" w:eastAsia="宋体" w:cs="宋体"/>
                <w:b w:val="0"/>
                <w:bCs/>
                <w:color w:val="000000"/>
                <w:kern w:val="2"/>
                <w:sz w:val="21"/>
                <w:szCs w:val="21"/>
                <w:lang w:val="en-US" w:eastAsia="zh-CN" w:bidi="ar"/>
              </w:rPr>
              <w:tab/>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会计分期</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货币计量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下列各项不属于会计核算内容的是（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记账</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算账</w:t>
            </w:r>
            <w:r>
              <w:rPr>
                <w:rFonts w:hint="eastAsia" w:ascii="宋体" w:hAnsi="宋体" w:eastAsia="宋体" w:cs="宋体"/>
                <w:b w:val="0"/>
                <w:bCs/>
                <w:color w:val="000000"/>
                <w:kern w:val="2"/>
                <w:sz w:val="21"/>
                <w:szCs w:val="21"/>
                <w:lang w:val="en-US" w:eastAsia="zh-CN" w:bidi="ar"/>
              </w:rPr>
              <w:tab/>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报账</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制订财务计划</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将以融资租赁方式租入的固定资产视为企业的资产进行会计核算，是下列哪项会计信息的质量要求（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重要性</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实质重于形式</w:t>
            </w:r>
            <w:r>
              <w:rPr>
                <w:rFonts w:hint="eastAsia" w:ascii="宋体" w:hAnsi="宋体" w:eastAsia="宋体" w:cs="宋体"/>
                <w:b w:val="0"/>
                <w:bCs/>
                <w:color w:val="000000"/>
                <w:kern w:val="2"/>
                <w:sz w:val="21"/>
                <w:szCs w:val="21"/>
                <w:lang w:val="en-US" w:eastAsia="zh-CN" w:bidi="ar"/>
              </w:rPr>
              <w:tab/>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谨慎性</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可靠性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二、多项选择题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会计的基本职能包括（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会计核算</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财务预测</w:t>
            </w:r>
            <w:r>
              <w:rPr>
                <w:rFonts w:hint="eastAsia" w:ascii="宋体" w:hAnsi="宋体" w:eastAsia="宋体" w:cs="宋体"/>
                <w:b w:val="0"/>
                <w:bCs/>
                <w:color w:val="000000"/>
                <w:kern w:val="2"/>
                <w:sz w:val="21"/>
                <w:szCs w:val="21"/>
                <w:lang w:val="en-US" w:eastAsia="zh-CN" w:bidi="ar"/>
              </w:rPr>
              <w:tab/>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会计监督</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财务分析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会计假设包括（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会计主体</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持续经营</w:t>
            </w:r>
            <w:r>
              <w:rPr>
                <w:rFonts w:hint="eastAsia" w:ascii="宋体" w:hAnsi="宋体" w:eastAsia="宋体" w:cs="宋体"/>
                <w:b w:val="0"/>
                <w:bCs/>
                <w:color w:val="000000"/>
                <w:kern w:val="2"/>
                <w:sz w:val="21"/>
                <w:szCs w:val="21"/>
                <w:lang w:val="en-US" w:eastAsia="zh-CN" w:bidi="ar"/>
              </w:rPr>
              <w:tab/>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货币计量</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权责发生制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下列有关会计的说法中正确的包括（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会计本质上是一种经济管理活动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会计要对企业所有的经济活动进行核算和监督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会计是以货币为主要计量单位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会计只对企业能用货币表现经济活动进行核算和监督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下列关于会计主体的说法中正确的有（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会计主体是指会计工作服务的特定单位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会计主体不一定是法律主体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法律主体必然是一个会计主体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会计主体一定是法律主体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下列会计处理中符合谨慎性要求的包括（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对应收账款计提坏账准备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对售出商品可能发生的保修义务等确认预计负债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企业对可能发生的资产减值损失计提资产减值准备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允许企业设置秘密准备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通过教师讲解，了解实训（一）的基本理论知识。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实训（一）</w:t>
            </w:r>
            <w:r>
              <w:rPr>
                <w:rFonts w:hint="eastAsia" w:ascii="宋体" w:hAnsi="宋体" w:cs="宋体"/>
                <w:b/>
                <w:bCs w:val="0"/>
                <w:kern w:val="0"/>
                <w:sz w:val="21"/>
                <w:szCs w:val="21"/>
                <w:lang w:val="en-US" w:eastAsia="zh-CN" w:bidi="ar"/>
              </w:rPr>
              <w:t>，让学生提高对所学知识的理解</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简述会计处理中符合谨慎性要求。</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展示实训（</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三、判断题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会计主体可以是一个企业，也可以是企业内部的某一个部门。（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会计核算只能以货币作为唯一的计量单位。（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3.《企业会计准则（2020 年版）》规定，会计的确认、计量和报告应当以权责发生制为基础。（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会计期间分为年度、半年度、季度和月度，且均按公历起讫日期确定。（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在我国，会计核算应当以人民币作为记账本位币，企业编报的财务会计报告应当以人民币反映。（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通过教师讲解，了解实训（</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实训（</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，让学生提高对知识的运用能力</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简述会计主体。</w:t>
            </w:r>
            <w:bookmarkStart w:id="0" w:name="_GoBack"/>
            <w:bookmarkEnd w:id="0"/>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要提高课堂教学导入的针对性，我们必须依据具体的教学内容，研究学情，也就是要把握好学生原有的基础，也要能比较准确地估计出，通过我们的教学，学生能达到的预期目标</w:t>
            </w:r>
            <w:r>
              <w:rPr>
                <w:rFonts w:hint="eastAsia" w:ascii="Times New Roman" w:hAnsi="Times New Roman"/>
              </w:rPr>
              <w:t>。</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1BFE1312"/>
    <w:rsid w:val="2F6E73AD"/>
    <w:rsid w:val="436C72A2"/>
    <w:rsid w:val="44B33A23"/>
    <w:rsid w:val="5BEBD895"/>
    <w:rsid w:val="690A0478"/>
    <w:rsid w:val="6EFF2889"/>
    <w:rsid w:val="76FE0FF8"/>
    <w:rsid w:val="E5FD20F1"/>
    <w:rsid w:val="EB9BAD13"/>
    <w:rsid w:val="FBFD899D"/>
    <w:rsid w:val="FD7E5D27"/>
    <w:rsid w:val="FFD3B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25</TotalTime>
  <ScaleCrop>false</ScaleCrop>
  <LinksUpToDate>false</LinksUpToDate>
  <CharactersWithSpaces>13995</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2021-06-11T10:03:00Z</dcterms:created>
  <dc:creator>DELL</dc:creator>
  <cp:lastModifiedBy>无谓</cp:lastModifiedBy>
  <dcterms:modified xsi:type="dcterms:W3CDTF">2024-02-10T17:23:38Z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3EB13C0C4CE5D6CCD6FBBD6500351866_43</vt:lpwstr>
  </property>
</Properties>
</file>