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keepNext/>
        <w:keepLines/>
        <w:spacing w:before="260" w:after="260" w:line="416" w:lineRule="atLeast"/>
        <w:jc w:val="center"/>
        <w:outlineLvl w:val="1"/>
        <w:rPr>
          <w:rFonts w:ascii="Times New Roman" w:hAnsi="Times New Roman"/>
          <w:b/>
          <w:bCs/>
          <w:sz w:val="28"/>
          <w:szCs w:val="28"/>
        </w:rPr>
      </w:pPr>
      <w:r>
        <w:rPr>
          <w:rFonts w:hint="eastAsia" w:ascii="Times New Roman" w:hAnsi="Times New Roman"/>
          <w:b/>
          <w:bCs/>
          <w:sz w:val="28"/>
          <w:szCs w:val="28"/>
        </w:rPr>
        <w:t>第</w:t>
      </w:r>
      <w:r>
        <w:rPr>
          <w:rFonts w:hint="eastAsia" w:ascii="Times New Roman" w:hAnsi="Times New Roman"/>
          <w:b/>
          <w:bCs/>
          <w:sz w:val="28"/>
          <w:szCs w:val="28"/>
          <w:lang w:val="en-US" w:eastAsia="zh-CN"/>
        </w:rPr>
        <w:t>10</w:t>
      </w:r>
      <w:r>
        <w:rPr>
          <w:rFonts w:hint="eastAsia" w:ascii="Times New Roman" w:hAnsi="Times New Roman"/>
          <w:b/>
          <w:bCs/>
          <w:sz w:val="28"/>
          <w:szCs w:val="28"/>
        </w:rPr>
        <w:t>课  财务分析</w:t>
      </w:r>
    </w:p>
    <w:tbl>
      <w:tblPr>
        <w:tblStyle w:val="9"/>
        <w:tblW w:w="8449" w:type="dxa"/>
        <w:jc w:val="center"/>
        <w:tblBorders>
          <w:top w:val="single" w:color="auto" w:sz="4" w:space="0"/>
          <w:left w:val="single" w:color="auto" w:sz="4" w:space="0"/>
          <w:bottom w:val="single" w:color="auto" w:sz="4" w:space="0"/>
          <w:right w:val="single" w:color="auto" w:sz="4" w:space="0"/>
          <w:insideH w:val="none" w:color="auto" w:sz="0" w:space="0"/>
          <w:insideV w:val="none" w:color="auto" w:sz="0" w:space="0"/>
        </w:tblBorders>
        <w:tblLayout w:type="fixed"/>
        <w:tblCellMar>
          <w:top w:w="0" w:type="dxa"/>
          <w:left w:w="108" w:type="dxa"/>
          <w:bottom w:w="0" w:type="dxa"/>
          <w:right w:w="108" w:type="dxa"/>
        </w:tblCellMar>
      </w:tblPr>
      <w:tblGrid>
        <w:gridCol w:w="1276"/>
        <w:gridCol w:w="5807"/>
        <w:gridCol w:w="1366"/>
      </w:tblGrid>
      <w:tr>
        <w:trPr>
          <w:trHeight w:val="404" w:hRule="atLeast"/>
          <w:jc w:val="center"/>
        </w:trPr>
        <w:tc>
          <w:tcPr>
            <w:tcW w:w="1276" w:type="dxa"/>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0" w:right="0" w:hanging="8"/>
              <w:jc w:val="center"/>
              <w:textAlignment w:val="auto"/>
              <w:rPr>
                <w:rFonts w:hint="default" w:ascii="Times New Roman" w:hAnsi="Times New Roman"/>
                <w:b/>
                <w:szCs w:val="20"/>
              </w:rPr>
            </w:pPr>
            <w:r>
              <w:rPr>
                <w:rFonts w:hint="default" w:ascii="Times New Roman" w:hAnsi="宋体"/>
                <w:b/>
                <w:szCs w:val="20"/>
              </w:rPr>
              <w:t>课</w:t>
            </w:r>
            <w:r>
              <w:rPr>
                <w:rFonts w:hint="default" w:ascii="Times New Roman" w:hAnsi="Times New Roman"/>
                <w:b/>
                <w:szCs w:val="20"/>
              </w:rPr>
              <w:t xml:space="preserve">  </w:t>
            </w:r>
            <w:r>
              <w:rPr>
                <w:rFonts w:hint="eastAsia" w:ascii="Times New Roman" w:hAnsi="Times New Roman"/>
                <w:b/>
                <w:szCs w:val="20"/>
              </w:rPr>
              <w:t>题</w:t>
            </w:r>
          </w:p>
        </w:tc>
        <w:tc>
          <w:tcPr>
            <w:tcW w:w="7173" w:type="dxa"/>
            <w:gridSpan w:val="2"/>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0" w:right="0" w:hanging="8"/>
              <w:textAlignment w:val="auto"/>
              <w:rPr>
                <w:rFonts w:hint="default" w:ascii="Times New Roman" w:hAnsi="Times New Roman"/>
                <w:szCs w:val="20"/>
              </w:rPr>
            </w:pPr>
            <w:r>
              <w:rPr>
                <w:rFonts w:hint="eastAsia" w:ascii="Times New Roman" w:hAnsi="宋体"/>
                <w:szCs w:val="20"/>
              </w:rPr>
              <w:t>财务分析</w:t>
            </w:r>
          </w:p>
        </w:tc>
      </w:tr>
      <w:tr>
        <w:trPr>
          <w:trHeight w:val="479" w:hRule="atLeast"/>
          <w:jc w:val="center"/>
        </w:trPr>
        <w:tc>
          <w:tcPr>
            <w:tcW w:w="1276" w:type="dxa"/>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0" w:right="0" w:hanging="8"/>
              <w:jc w:val="center"/>
              <w:textAlignment w:val="auto"/>
              <w:rPr>
                <w:rFonts w:hint="default" w:ascii="Times New Roman" w:hAnsi="Times New Roman"/>
                <w:b/>
                <w:szCs w:val="20"/>
              </w:rPr>
            </w:pPr>
            <w:r>
              <w:rPr>
                <w:rFonts w:hint="default" w:ascii="Times New Roman" w:hAnsi="宋体"/>
                <w:b/>
                <w:szCs w:val="20"/>
              </w:rPr>
              <w:t>课</w:t>
            </w:r>
            <w:r>
              <w:rPr>
                <w:rFonts w:hint="eastAsia" w:ascii="Times New Roman" w:hAnsi="宋体"/>
                <w:b/>
                <w:szCs w:val="20"/>
              </w:rPr>
              <w:t xml:space="preserve"> </w:t>
            </w:r>
            <w:r>
              <w:rPr>
                <w:rFonts w:hint="default" w:ascii="Times New Roman" w:hAnsi="宋体"/>
                <w:b/>
                <w:szCs w:val="20"/>
              </w:rPr>
              <w:t xml:space="preserve"> 时</w:t>
            </w:r>
          </w:p>
        </w:tc>
        <w:tc>
          <w:tcPr>
            <w:tcW w:w="7173" w:type="dxa"/>
            <w:gridSpan w:val="2"/>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0" w:right="0" w:hanging="8"/>
              <w:textAlignment w:val="auto"/>
              <w:rPr>
                <w:rFonts w:hint="default" w:ascii="Times New Roman" w:hAnsi="Times New Roman"/>
                <w:szCs w:val="20"/>
              </w:rPr>
            </w:pPr>
            <w:r>
              <w:rPr>
                <w:rFonts w:hint="eastAsia" w:ascii="Times New Roman" w:hAnsi="Times New Roman"/>
                <w:szCs w:val="20"/>
                <w:lang w:val="en-US" w:eastAsia="zh-CN"/>
              </w:rPr>
              <w:t>4</w:t>
            </w:r>
            <w:r>
              <w:rPr>
                <w:rFonts w:hint="default" w:ascii="Times New Roman" w:hAnsi="宋体"/>
                <w:szCs w:val="20"/>
              </w:rPr>
              <w:t>课时</w:t>
            </w:r>
            <w:r>
              <w:rPr>
                <w:rFonts w:hint="eastAsia" w:ascii="Times New Roman" w:hAnsi="宋体"/>
                <w:szCs w:val="20"/>
              </w:rPr>
              <w:t>（</w:t>
            </w:r>
            <w:r>
              <w:rPr>
                <w:rFonts w:hint="eastAsia" w:ascii="Times New Roman" w:hAnsi="宋体"/>
                <w:szCs w:val="20"/>
                <w:lang w:val="en-US" w:eastAsia="zh-CN"/>
              </w:rPr>
              <w:t>180</w:t>
            </w:r>
            <w:r>
              <w:rPr>
                <w:rFonts w:hint="eastAsia" w:ascii="Times New Roman" w:hAnsi="宋体"/>
                <w:szCs w:val="20"/>
              </w:rPr>
              <w:t xml:space="preserve"> min）。</w:t>
            </w:r>
          </w:p>
        </w:tc>
      </w:tr>
      <w:tr>
        <w:trPr>
          <w:trHeight w:val="1777" w:hRule="atLeast"/>
          <w:jc w:val="center"/>
        </w:trPr>
        <w:tc>
          <w:tcPr>
            <w:tcW w:w="1276" w:type="dxa"/>
            <w:tcBorders>
              <w:top w:val="single" w:color="auto" w:sz="4" w:space="0"/>
              <w:left w:val="single" w:color="auto" w:sz="4" w:space="0"/>
              <w:right w:val="single" w:color="auto" w:sz="4" w:space="0"/>
            </w:tcBorders>
            <w:vAlign w:val="center"/>
          </w:tcPr>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0" w:right="0" w:hanging="8"/>
              <w:jc w:val="center"/>
              <w:textAlignment w:val="auto"/>
              <w:rPr>
                <w:rFonts w:hint="default" w:ascii="Times New Roman" w:hAnsi="Times New Roman"/>
                <w:b/>
                <w:szCs w:val="20"/>
              </w:rPr>
            </w:pPr>
            <w:r>
              <w:rPr>
                <w:rFonts w:hint="default" w:ascii="Times New Roman" w:hAnsi="宋体"/>
                <w:b/>
                <w:szCs w:val="20"/>
              </w:rPr>
              <w:t>教学目标</w:t>
            </w:r>
          </w:p>
        </w:tc>
        <w:tc>
          <w:tcPr>
            <w:tcW w:w="7173" w:type="dxa"/>
            <w:gridSpan w:val="2"/>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ind w:left="0" w:right="0" w:hanging="8"/>
              <w:textAlignment w:val="auto"/>
              <w:rPr>
                <w:rFonts w:hint="default"/>
                <w:b/>
              </w:rPr>
            </w:pPr>
            <w:r>
              <w:rPr>
                <w:rFonts w:hint="default" w:hAnsi="宋体"/>
                <w:b/>
              </w:rPr>
              <w:t>知识</w:t>
            </w:r>
            <w:r>
              <w:rPr>
                <w:rFonts w:hint="eastAsia" w:hAnsi="宋体"/>
                <w:b/>
              </w:rPr>
              <w:t>技能</w:t>
            </w:r>
            <w:r>
              <w:rPr>
                <w:rFonts w:hint="default" w:hAnsi="宋体"/>
                <w:b/>
              </w:rPr>
              <w:t>目标：</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0" w:right="0" w:hanging="8"/>
              <w:textAlignment w:val="auto"/>
              <w:rPr>
                <w:rFonts w:hint="default" w:ascii="Times New Roman" w:hAnsi="Times New Roman"/>
                <w:szCs w:val="20"/>
              </w:rPr>
            </w:pPr>
            <w:r>
              <w:rPr>
                <w:rFonts w:hint="default" w:ascii="Times New Roman" w:hAnsi="Times New Roman"/>
                <w:szCs w:val="20"/>
              </w:rPr>
              <w:t>1. 熟悉财务分析的含义、意义及内容。</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0" w:right="0" w:hanging="8"/>
              <w:textAlignment w:val="auto"/>
              <w:rPr>
                <w:rFonts w:hint="default" w:ascii="Times New Roman" w:hAnsi="宋体"/>
                <w:szCs w:val="20"/>
              </w:rPr>
            </w:pPr>
            <w:r>
              <w:rPr>
                <w:rFonts w:hint="default" w:ascii="Times New Roman" w:hAnsi="Times New Roman"/>
                <w:szCs w:val="20"/>
              </w:rPr>
              <w:t>2. 了解财务分析的种类、含义及原理。</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0" w:right="0" w:hanging="8"/>
              <w:textAlignment w:val="auto"/>
              <w:rPr>
                <w:rFonts w:hint="default" w:ascii="Times New Roman" w:hAnsi="Times New Roman"/>
                <w:b/>
                <w:szCs w:val="20"/>
              </w:rPr>
            </w:pPr>
            <w:r>
              <w:rPr>
                <w:rFonts w:hint="default" w:ascii="Times New Roman" w:hAnsi="Times New Roman"/>
                <w:b/>
                <w:szCs w:val="20"/>
              </w:rPr>
              <w:t>思政育人目标</w:t>
            </w:r>
            <w:r>
              <w:rPr>
                <w:rFonts w:hint="eastAsia" w:ascii="Times New Roman" w:hAnsi="Times New Roman"/>
                <w:b/>
                <w:szCs w:val="20"/>
              </w:rPr>
              <w:t>：</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0" w:firstLineChars="200"/>
              <w:textAlignment w:val="auto"/>
              <w:rPr>
                <w:rFonts w:hint="default" w:ascii="Times New Roman" w:hAnsi="Times New Roman"/>
                <w:szCs w:val="20"/>
              </w:rPr>
            </w:pPr>
            <w:r>
              <w:rPr>
                <w:rFonts w:hint="eastAsia" w:ascii="Times New Roman" w:hAnsi="宋体"/>
                <w:bCs/>
                <w:szCs w:val="20"/>
              </w:rPr>
              <w:t>让学生通过学习</w:t>
            </w:r>
            <w:r>
              <w:rPr>
                <w:rFonts w:hint="eastAsia" w:ascii="Times New Roman" w:hAnsi="宋体"/>
                <w:bCs/>
                <w:szCs w:val="20"/>
                <w:lang w:eastAsia="zh-CN"/>
              </w:rPr>
              <w:t>财务分析</w:t>
            </w:r>
            <w:r>
              <w:rPr>
                <w:rFonts w:hint="eastAsia" w:ascii="Times New Roman" w:hAnsi="宋体"/>
                <w:bCs/>
                <w:szCs w:val="20"/>
              </w:rPr>
              <w:t>，培养学生财务数据的收集能力、整理能力、数据分析能力。</w:t>
            </w:r>
          </w:p>
        </w:tc>
      </w:tr>
      <w:tr>
        <w:trPr>
          <w:trHeight w:val="57" w:hRule="atLeast"/>
          <w:jc w:val="center"/>
        </w:trPr>
        <w:tc>
          <w:tcPr>
            <w:tcW w:w="1276" w:type="dxa"/>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0" w:right="0" w:hanging="8"/>
              <w:jc w:val="center"/>
              <w:textAlignment w:val="auto"/>
              <w:rPr>
                <w:rFonts w:hint="default" w:ascii="Times New Roman" w:hAnsi="宋体"/>
                <w:b/>
                <w:szCs w:val="20"/>
              </w:rPr>
            </w:pPr>
            <w:r>
              <w:rPr>
                <w:rFonts w:hint="default" w:ascii="Times New Roman" w:hAnsi="宋体"/>
                <w:b/>
                <w:szCs w:val="20"/>
              </w:rPr>
              <w:t>教学重</w:t>
            </w:r>
            <w:r>
              <w:rPr>
                <w:rFonts w:hint="eastAsia" w:ascii="Times New Roman" w:hAnsi="宋体"/>
                <w:b/>
                <w:szCs w:val="20"/>
              </w:rPr>
              <w:t>难</w:t>
            </w:r>
            <w:r>
              <w:rPr>
                <w:rFonts w:hint="default" w:ascii="Times New Roman" w:hAnsi="宋体"/>
                <w:b/>
                <w:szCs w:val="20"/>
              </w:rPr>
              <w:t>点</w:t>
            </w:r>
          </w:p>
        </w:tc>
        <w:tc>
          <w:tcPr>
            <w:tcW w:w="7173" w:type="dxa"/>
            <w:gridSpan w:val="2"/>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0" w:right="0" w:hanging="8"/>
              <w:textAlignment w:val="auto"/>
              <w:rPr>
                <w:rFonts w:hint="eastAsia" w:ascii="Times New Roman" w:hAnsi="Times New Roman" w:eastAsia="宋体"/>
                <w:szCs w:val="20"/>
                <w:lang w:eastAsia="zh-CN"/>
              </w:rPr>
            </w:pPr>
            <w:r>
              <w:rPr>
                <w:rFonts w:hint="eastAsia" w:ascii="Times New Roman" w:hAnsi="Times New Roman"/>
                <w:b/>
                <w:szCs w:val="20"/>
              </w:rPr>
              <w:t>教学重点：</w:t>
            </w:r>
            <w:r>
              <w:rPr>
                <w:rFonts w:hint="eastAsia" w:ascii="宋体" w:hAnsi="宋体" w:cs="宋体"/>
                <w:kern w:val="0"/>
              </w:rPr>
              <w:t>财务分析概述</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0" w:right="0" w:hanging="8"/>
              <w:textAlignment w:val="auto"/>
              <w:rPr>
                <w:rFonts w:hint="default" w:ascii="Times New Roman" w:hAnsi="Times New Roman"/>
                <w:szCs w:val="20"/>
              </w:rPr>
            </w:pPr>
            <w:r>
              <w:rPr>
                <w:rFonts w:hint="eastAsia" w:ascii="Times New Roman" w:hAnsi="Times New Roman"/>
                <w:b/>
                <w:szCs w:val="20"/>
              </w:rPr>
              <w:t>教学难点：</w:t>
            </w:r>
            <w:r>
              <w:rPr>
                <w:rFonts w:hint="eastAsia" w:ascii="宋体" w:hAnsi="宋体" w:cs="宋体"/>
                <w:kern w:val="0"/>
              </w:rPr>
              <w:t>财务分析的方法</w:t>
            </w:r>
          </w:p>
        </w:tc>
      </w:tr>
      <w:tr>
        <w:trPr>
          <w:trHeight w:val="57" w:hRule="atLeast"/>
          <w:jc w:val="center"/>
        </w:trPr>
        <w:tc>
          <w:tcPr>
            <w:tcW w:w="1276" w:type="dxa"/>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0" w:right="0" w:hanging="8"/>
              <w:jc w:val="center"/>
              <w:textAlignment w:val="auto"/>
              <w:rPr>
                <w:rFonts w:hint="default" w:ascii="Times New Roman" w:hAnsi="Times New Roman"/>
                <w:b/>
                <w:szCs w:val="20"/>
              </w:rPr>
            </w:pPr>
            <w:r>
              <w:rPr>
                <w:rFonts w:hint="default" w:ascii="Times New Roman" w:hAnsi="宋体"/>
                <w:b/>
                <w:szCs w:val="20"/>
              </w:rPr>
              <w:t>教学方法</w:t>
            </w:r>
          </w:p>
        </w:tc>
        <w:tc>
          <w:tcPr>
            <w:tcW w:w="7173" w:type="dxa"/>
            <w:gridSpan w:val="2"/>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0" w:right="0" w:hanging="8"/>
              <w:textAlignment w:val="auto"/>
              <w:rPr>
                <w:rFonts w:hint="default" w:ascii="Times New Roman" w:hAnsi="Times New Roman"/>
                <w:szCs w:val="20"/>
              </w:rPr>
            </w:pPr>
            <w:r>
              <w:rPr>
                <w:rFonts w:hint="eastAsia" w:ascii="Times New Roman" w:hAnsi="宋体"/>
                <w:szCs w:val="20"/>
              </w:rPr>
              <w:t>讲授法、问答法、讨论法</w:t>
            </w:r>
          </w:p>
        </w:tc>
      </w:tr>
      <w:tr>
        <w:trPr>
          <w:trHeight w:val="57" w:hRule="atLeast"/>
          <w:jc w:val="center"/>
        </w:trPr>
        <w:tc>
          <w:tcPr>
            <w:tcW w:w="1276" w:type="dxa"/>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0" w:right="0" w:hanging="8"/>
              <w:jc w:val="center"/>
              <w:textAlignment w:val="auto"/>
              <w:rPr>
                <w:rFonts w:hint="default" w:ascii="Times New Roman" w:hAnsi="Times New Roman"/>
                <w:b/>
                <w:szCs w:val="20"/>
              </w:rPr>
            </w:pPr>
            <w:r>
              <w:rPr>
                <w:rFonts w:hint="default" w:ascii="Times New Roman" w:hAnsi="宋体"/>
                <w:b/>
                <w:szCs w:val="20"/>
              </w:rPr>
              <w:t>教学用具</w:t>
            </w:r>
          </w:p>
        </w:tc>
        <w:tc>
          <w:tcPr>
            <w:tcW w:w="7173" w:type="dxa"/>
            <w:gridSpan w:val="2"/>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0" w:right="0" w:hanging="8"/>
              <w:textAlignment w:val="auto"/>
              <w:rPr>
                <w:rFonts w:hint="default" w:ascii="Times New Roman" w:hAnsi="Times New Roman"/>
                <w:szCs w:val="20"/>
              </w:rPr>
            </w:pPr>
            <w:r>
              <w:rPr>
                <w:rFonts w:hint="eastAsia" w:ascii="Times New Roman" w:hAnsi="宋体"/>
                <w:szCs w:val="20"/>
              </w:rPr>
              <w:t>电脑、投影仪、</w:t>
            </w:r>
            <w:r>
              <w:rPr>
                <w:rFonts w:hint="default" w:ascii="Times New Roman" w:hAnsi="宋体"/>
                <w:szCs w:val="20"/>
              </w:rPr>
              <w:t>多媒体</w:t>
            </w:r>
            <w:r>
              <w:rPr>
                <w:rFonts w:hint="eastAsia" w:ascii="Times New Roman" w:hAnsi="宋体"/>
                <w:szCs w:val="20"/>
              </w:rPr>
              <w:t>课件、教材</w:t>
            </w:r>
          </w:p>
        </w:tc>
      </w:tr>
      <w:tr>
        <w:trPr>
          <w:trHeight w:val="57" w:hRule="atLeast"/>
          <w:jc w:val="center"/>
        </w:trPr>
        <w:tc>
          <w:tcPr>
            <w:tcW w:w="1276" w:type="dxa"/>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0" w:right="0" w:hanging="8"/>
              <w:jc w:val="center"/>
              <w:textAlignment w:val="auto"/>
              <w:rPr>
                <w:rFonts w:hint="default" w:ascii="Times New Roman" w:hAnsi="宋体"/>
                <w:b/>
                <w:szCs w:val="20"/>
              </w:rPr>
            </w:pPr>
            <w:r>
              <w:rPr>
                <w:rFonts w:hint="default" w:ascii="Times New Roman" w:hAnsi="宋体"/>
                <w:b/>
                <w:szCs w:val="20"/>
              </w:rPr>
              <w:t>教学设计</w:t>
            </w:r>
          </w:p>
        </w:tc>
        <w:tc>
          <w:tcPr>
            <w:tcW w:w="7173" w:type="dxa"/>
            <w:gridSpan w:val="2"/>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0" w:right="0" w:hanging="8"/>
              <w:textAlignment w:val="auto"/>
              <w:rPr>
                <w:rFonts w:hint="default" w:ascii="Times New Roman" w:hAnsi="宋体" w:eastAsia="宋体"/>
                <w:szCs w:val="20"/>
                <w:lang w:val="en-US" w:eastAsia="zh-CN"/>
              </w:rPr>
            </w:pPr>
            <w:r>
              <w:rPr>
                <w:rFonts w:hint="eastAsia" w:ascii="Times New Roman" w:hAnsi="宋体"/>
                <w:kern w:val="0"/>
                <w:szCs w:val="20"/>
              </w:rPr>
              <w:t>第</w:t>
            </w:r>
            <w:r>
              <w:rPr>
                <w:rFonts w:hint="default" w:ascii="Times New Roman" w:hAnsi="宋体"/>
                <w:kern w:val="0"/>
                <w:szCs w:val="20"/>
              </w:rPr>
              <w:t>1</w:t>
            </w:r>
            <w:r>
              <w:rPr>
                <w:rFonts w:hint="eastAsia" w:ascii="Times New Roman" w:hAnsi="宋体"/>
                <w:kern w:val="0"/>
                <w:szCs w:val="20"/>
              </w:rPr>
              <w:t>节课：</w:t>
            </w:r>
            <w:r>
              <w:rPr>
                <w:rFonts w:hint="eastAsia" w:ascii="Times New Roman" w:hAnsi="宋体"/>
                <w:szCs w:val="20"/>
                <w:lang w:eastAsia="zh-CN"/>
              </w:rPr>
              <w:t>考勤</w:t>
            </w:r>
            <w:r>
              <w:rPr>
                <w:rFonts w:hint="eastAsia" w:ascii="Times New Roman" w:hAnsi="宋体"/>
                <w:szCs w:val="20"/>
              </w:rPr>
              <w:t>（</w:t>
            </w:r>
            <w:r>
              <w:rPr>
                <w:rFonts w:hint="eastAsia" w:ascii="Times New Roman" w:hAnsi="宋体"/>
                <w:szCs w:val="20"/>
                <w:lang w:val="en-US" w:eastAsia="zh-CN"/>
              </w:rPr>
              <w:t>2</w:t>
            </w:r>
            <w:r>
              <w:rPr>
                <w:rFonts w:hint="eastAsia" w:ascii="Times New Roman" w:hAnsi="宋体"/>
                <w:szCs w:val="20"/>
              </w:rPr>
              <w:t>min）--</w:t>
            </w:r>
            <w:r>
              <w:rPr>
                <w:rFonts w:hint="eastAsia" w:ascii="Times New Roman" w:hAnsi="宋体"/>
                <w:szCs w:val="20"/>
                <w:lang w:eastAsia="zh-CN"/>
              </w:rPr>
              <w:t>知识讲解</w:t>
            </w:r>
            <w:r>
              <w:rPr>
                <w:rFonts w:hint="eastAsia" w:ascii="Times New Roman" w:hAnsi="宋体"/>
                <w:szCs w:val="20"/>
              </w:rPr>
              <w:t>（</w:t>
            </w:r>
            <w:r>
              <w:rPr>
                <w:rFonts w:hint="default" w:ascii="Times New Roman" w:hAnsi="宋体"/>
                <w:szCs w:val="20"/>
              </w:rPr>
              <w:t>40</w:t>
            </w:r>
            <w:r>
              <w:rPr>
                <w:rFonts w:hint="eastAsia" w:ascii="Times New Roman" w:hAnsi="宋体"/>
                <w:szCs w:val="20"/>
              </w:rPr>
              <w:t>min）</w:t>
            </w:r>
            <w:r>
              <w:rPr>
                <w:rFonts w:hint="eastAsia" w:ascii="Times New Roman" w:hAnsi="宋体"/>
                <w:szCs w:val="20"/>
                <w:lang w:val="en-US" w:eastAsia="zh-CN"/>
              </w:rPr>
              <w:t>--作业布置（3min）</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0" w:right="0" w:hanging="8"/>
              <w:textAlignment w:val="auto"/>
              <w:rPr>
                <w:rFonts w:hint="default" w:ascii="Times New Roman" w:hAnsi="宋体" w:eastAsia="宋体"/>
                <w:szCs w:val="20"/>
                <w:lang w:val="en-US" w:eastAsia="zh-CN"/>
              </w:rPr>
            </w:pPr>
            <w:r>
              <w:rPr>
                <w:rFonts w:hint="eastAsia" w:ascii="Times New Roman" w:hAnsi="宋体"/>
                <w:kern w:val="0"/>
                <w:szCs w:val="20"/>
              </w:rPr>
              <w:t>第</w:t>
            </w:r>
            <w:r>
              <w:rPr>
                <w:rFonts w:hint="default" w:ascii="Times New Roman" w:hAnsi="宋体"/>
                <w:kern w:val="0"/>
                <w:szCs w:val="20"/>
              </w:rPr>
              <w:t>2</w:t>
            </w:r>
            <w:r>
              <w:rPr>
                <w:rFonts w:hint="eastAsia" w:ascii="Times New Roman" w:hAnsi="宋体"/>
                <w:kern w:val="0"/>
                <w:szCs w:val="20"/>
              </w:rPr>
              <w:t>节课：</w:t>
            </w:r>
            <w:r>
              <w:rPr>
                <w:rFonts w:hint="eastAsia" w:ascii="Times New Roman" w:hAnsi="宋体"/>
                <w:szCs w:val="20"/>
                <w:lang w:eastAsia="zh-CN"/>
              </w:rPr>
              <w:t>知识讲解</w:t>
            </w:r>
            <w:r>
              <w:rPr>
                <w:rFonts w:hint="eastAsia" w:ascii="Times New Roman" w:hAnsi="宋体"/>
                <w:szCs w:val="20"/>
              </w:rPr>
              <w:t>（40min）--</w:t>
            </w:r>
            <w:r>
              <w:rPr>
                <w:rFonts w:hint="eastAsia" w:ascii="Times New Roman" w:hAnsi="宋体"/>
                <w:szCs w:val="20"/>
                <w:lang w:eastAsia="zh-CN"/>
              </w:rPr>
              <w:t>课堂小结</w:t>
            </w:r>
            <w:r>
              <w:rPr>
                <w:rFonts w:hint="eastAsia" w:ascii="Times New Roman" w:hAnsi="宋体"/>
                <w:szCs w:val="20"/>
              </w:rPr>
              <w:t>（3min）</w:t>
            </w:r>
            <w:r>
              <w:rPr>
                <w:rFonts w:hint="eastAsia" w:ascii="Times New Roman" w:hAnsi="宋体"/>
                <w:szCs w:val="20"/>
                <w:lang w:val="en-US" w:eastAsia="zh-CN"/>
              </w:rPr>
              <w:t>--作业布置（2min）</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0" w:right="0" w:hanging="8"/>
              <w:textAlignment w:val="auto"/>
              <w:rPr>
                <w:rFonts w:hint="eastAsia" w:ascii="Times New Roman" w:hAnsi="宋体"/>
                <w:szCs w:val="20"/>
              </w:rPr>
            </w:pPr>
            <w:r>
              <w:rPr>
                <w:rFonts w:hint="eastAsia" w:ascii="Times New Roman" w:hAnsi="宋体"/>
                <w:kern w:val="0"/>
                <w:szCs w:val="20"/>
              </w:rPr>
              <w:t>第</w:t>
            </w:r>
            <w:r>
              <w:rPr>
                <w:rFonts w:hint="default" w:ascii="Times New Roman" w:hAnsi="宋体"/>
                <w:kern w:val="0"/>
                <w:szCs w:val="20"/>
              </w:rPr>
              <w:t>3</w:t>
            </w:r>
            <w:r>
              <w:rPr>
                <w:rFonts w:hint="eastAsia" w:ascii="Times New Roman" w:hAnsi="宋体"/>
                <w:kern w:val="0"/>
                <w:szCs w:val="20"/>
              </w:rPr>
              <w:t>节课：</w:t>
            </w:r>
            <w:r>
              <w:rPr>
                <w:rFonts w:hint="eastAsia" w:ascii="Times New Roman" w:hAnsi="宋体"/>
                <w:szCs w:val="20"/>
                <w:lang w:eastAsia="zh-CN"/>
              </w:rPr>
              <w:t>知识讲解</w:t>
            </w:r>
            <w:r>
              <w:rPr>
                <w:rFonts w:hint="eastAsia" w:ascii="Times New Roman" w:hAnsi="宋体"/>
                <w:szCs w:val="20"/>
              </w:rPr>
              <w:t>（40min）--</w:t>
            </w:r>
            <w:r>
              <w:rPr>
                <w:rFonts w:hint="eastAsia" w:ascii="Times New Roman" w:hAnsi="宋体"/>
                <w:szCs w:val="20"/>
                <w:lang w:eastAsia="zh-CN"/>
              </w:rPr>
              <w:t>课堂小结</w:t>
            </w:r>
            <w:r>
              <w:rPr>
                <w:rFonts w:hint="eastAsia" w:ascii="Times New Roman" w:hAnsi="宋体"/>
                <w:szCs w:val="20"/>
              </w:rPr>
              <w:t>（3min）--</w:t>
            </w:r>
            <w:r>
              <w:rPr>
                <w:rFonts w:hint="eastAsia" w:ascii="Times New Roman" w:hAnsi="宋体"/>
                <w:szCs w:val="20"/>
                <w:lang w:eastAsia="zh-CN"/>
              </w:rPr>
              <w:t>作业布置</w:t>
            </w:r>
            <w:r>
              <w:rPr>
                <w:rFonts w:hint="eastAsia" w:ascii="Times New Roman" w:hAnsi="宋体"/>
                <w:szCs w:val="20"/>
              </w:rPr>
              <w:t>（2min）</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0" w:right="0" w:hanging="8"/>
              <w:textAlignment w:val="auto"/>
              <w:rPr>
                <w:rFonts w:hint="default" w:ascii="Times New Roman" w:hAnsi="宋体"/>
                <w:szCs w:val="20"/>
              </w:rPr>
            </w:pPr>
            <w:r>
              <w:rPr>
                <w:rFonts w:hint="default" w:ascii="Times New Roman" w:hAnsi="宋体"/>
                <w:szCs w:val="20"/>
              </w:rPr>
              <w:t>第</w:t>
            </w:r>
            <w:r>
              <w:rPr>
                <w:rFonts w:hint="eastAsia" w:ascii="Times New Roman" w:hAnsi="宋体"/>
                <w:szCs w:val="20"/>
                <w:lang w:val="en-US" w:eastAsia="zh-CN"/>
              </w:rPr>
              <w:t>4</w:t>
            </w:r>
            <w:r>
              <w:rPr>
                <w:rFonts w:hint="default" w:ascii="Times New Roman" w:hAnsi="宋体"/>
                <w:szCs w:val="20"/>
              </w:rPr>
              <w:t>节课：知识讲解（40min）--课堂小结（3min）--作业布置（2min）</w:t>
            </w:r>
          </w:p>
        </w:tc>
      </w:tr>
      <w:tr>
        <w:trPr>
          <w:trHeight w:val="149" w:hRule="atLeast"/>
          <w:jc w:val="center"/>
        </w:trPr>
        <w:tc>
          <w:tcPr>
            <w:tcW w:w="1276" w:type="dxa"/>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0" w:right="0" w:hanging="8"/>
              <w:jc w:val="center"/>
              <w:textAlignment w:val="auto"/>
              <w:rPr>
                <w:rFonts w:hint="default" w:ascii="Times New Roman" w:hAnsi="Times New Roman"/>
                <w:b/>
                <w:bCs w:val="0"/>
                <w:color w:val="C00000"/>
                <w:szCs w:val="24"/>
              </w:rPr>
            </w:pPr>
            <w:r>
              <w:rPr>
                <w:rFonts w:hint="eastAsia" w:ascii="Times New Roman" w:hAnsi="Times New Roman"/>
                <w:b/>
                <w:bCs w:val="0"/>
                <w:color w:val="C00000"/>
                <w:szCs w:val="24"/>
              </w:rPr>
              <w:t>教学过程</w:t>
            </w:r>
          </w:p>
        </w:tc>
        <w:tc>
          <w:tcPr>
            <w:tcW w:w="5807" w:type="dxa"/>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0" w:right="0"/>
              <w:jc w:val="center"/>
              <w:textAlignment w:val="auto"/>
              <w:rPr>
                <w:rFonts w:hint="default" w:ascii="Times New Roman" w:hAnsi="Times New Roman"/>
                <w:b/>
                <w:bCs w:val="0"/>
                <w:color w:val="C00000"/>
                <w:szCs w:val="20"/>
              </w:rPr>
            </w:pPr>
            <w:r>
              <w:rPr>
                <w:rFonts w:hint="eastAsia" w:ascii="Times New Roman" w:hAnsi="Times New Roman"/>
                <w:b/>
                <w:bCs w:val="0"/>
                <w:color w:val="C00000"/>
                <w:szCs w:val="24"/>
              </w:rPr>
              <w:t>主 要 教 学 内 容 及 步 骤</w:t>
            </w:r>
          </w:p>
        </w:tc>
        <w:tc>
          <w:tcPr>
            <w:tcW w:w="1366" w:type="dxa"/>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0" w:right="0"/>
              <w:jc w:val="center"/>
              <w:textAlignment w:val="auto"/>
              <w:rPr>
                <w:rFonts w:hint="default" w:ascii="Times New Roman" w:hAnsi="Times New Roman"/>
                <w:b/>
                <w:bCs w:val="0"/>
                <w:color w:val="C00000"/>
                <w:szCs w:val="20"/>
              </w:rPr>
            </w:pPr>
            <w:r>
              <w:rPr>
                <w:rFonts w:hint="default" w:ascii="Times New Roman" w:hAnsi="Times New Roman"/>
                <w:b/>
                <w:bCs w:val="0"/>
                <w:color w:val="C00000"/>
                <w:szCs w:val="20"/>
              </w:rPr>
              <w:t>设计意图</w:t>
            </w:r>
          </w:p>
        </w:tc>
      </w:tr>
      <w:tr>
        <w:trPr>
          <w:trHeight w:val="149" w:hRule="atLeast"/>
          <w:jc w:val="center"/>
        </w:trPr>
        <w:tc>
          <w:tcPr>
            <w:tcW w:w="1276" w:type="dxa"/>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0" w:right="0" w:hanging="8"/>
              <w:jc w:val="center"/>
              <w:textAlignment w:val="auto"/>
              <w:rPr>
                <w:rFonts w:hint="eastAsia" w:ascii="Times New Roman" w:hAnsi="Times New Roman"/>
                <w:b/>
                <w:szCs w:val="24"/>
                <w:lang w:eastAsia="zh-CN"/>
              </w:rPr>
            </w:pPr>
            <w:r>
              <w:rPr>
                <w:rFonts w:hint="eastAsia" w:ascii="Times New Roman" w:hAnsi="Times New Roman"/>
                <w:b/>
                <w:szCs w:val="24"/>
                <w:lang w:eastAsia="zh-CN"/>
              </w:rPr>
              <w:t>考勤</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0" w:right="0" w:hanging="8"/>
              <w:jc w:val="center"/>
              <w:textAlignment w:val="auto"/>
              <w:rPr>
                <w:rFonts w:hint="eastAsia" w:ascii="Times New Roman" w:hAnsi="Times New Roman"/>
                <w:b/>
                <w:szCs w:val="24"/>
                <w:lang w:eastAsia="zh-CN"/>
              </w:rPr>
            </w:pPr>
            <w:r>
              <w:rPr>
                <w:rFonts w:hint="eastAsia" w:ascii="Times New Roman" w:hAnsi="Times New Roman"/>
                <w:b/>
                <w:szCs w:val="24"/>
                <w:lang w:eastAsia="zh-CN"/>
              </w:rPr>
              <w:t>（</w:t>
            </w:r>
            <w:r>
              <w:rPr>
                <w:rFonts w:hint="eastAsia" w:ascii="Times New Roman" w:hAnsi="Times New Roman"/>
                <w:b/>
                <w:szCs w:val="24"/>
                <w:lang w:val="en-US" w:eastAsia="zh-CN"/>
              </w:rPr>
              <w:t>2min</w:t>
            </w:r>
            <w:r>
              <w:rPr>
                <w:rFonts w:hint="eastAsia" w:ascii="Times New Roman" w:hAnsi="Times New Roman"/>
                <w:b/>
                <w:szCs w:val="24"/>
                <w:lang w:eastAsia="zh-CN"/>
              </w:rPr>
              <w:t>）</w:t>
            </w:r>
          </w:p>
        </w:tc>
        <w:tc>
          <w:tcPr>
            <w:tcW w:w="5807" w:type="dxa"/>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360" w:lineRule="auto"/>
              <w:ind w:left="0" w:right="0"/>
              <w:jc w:val="left"/>
              <w:textAlignment w:val="auto"/>
              <w:rPr>
                <w:rFonts w:hint="eastAsia" w:ascii="Times New Roman" w:hAnsi="Times New Roman"/>
                <w:color w:val="C00000"/>
                <w:szCs w:val="24"/>
              </w:rPr>
            </w:pPr>
            <w:r>
              <w:rPr>
                <w:rFonts w:hint="eastAsia" w:ascii="Times New Roman" w:hAnsi="Times New Roman"/>
                <w:color w:val="C00000"/>
                <w:szCs w:val="24"/>
              </w:rPr>
              <w:t>■</w:t>
            </w:r>
            <w:r>
              <w:rPr>
                <w:rFonts w:hint="eastAsia" w:ascii="Times New Roman" w:hAnsi="Times New Roman"/>
                <w:color w:val="C00000"/>
                <w:szCs w:val="24"/>
                <w:lang w:eastAsia="zh-CN"/>
              </w:rPr>
              <w:t>【教师】</w:t>
            </w:r>
            <w:r>
              <w:rPr>
                <w:rFonts w:hint="eastAsia" w:ascii="Times New Roman" w:hAnsi="Times New Roman"/>
                <w:color w:val="C00000"/>
                <w:szCs w:val="24"/>
              </w:rPr>
              <w:t>清点上课人数，记录好考勤</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360" w:lineRule="auto"/>
              <w:ind w:left="0" w:right="0"/>
              <w:jc w:val="left"/>
              <w:textAlignment w:val="auto"/>
              <w:rPr>
                <w:rFonts w:hint="eastAsia" w:ascii="Times New Roman" w:hAnsi="Times New Roman"/>
                <w:szCs w:val="24"/>
              </w:rPr>
            </w:pPr>
            <w:r>
              <w:rPr>
                <w:rFonts w:hint="eastAsia" w:ascii="Times New Roman" w:hAnsi="Times New Roman"/>
                <w:color w:val="548235" w:themeColor="accent6" w:themeShade="BF"/>
                <w:szCs w:val="24"/>
              </w:rPr>
              <w:t>■</w:t>
            </w:r>
            <w:r>
              <w:rPr>
                <w:rFonts w:hint="eastAsia" w:ascii="Times New Roman" w:hAnsi="Times New Roman"/>
                <w:color w:val="548235" w:themeColor="accent6" w:themeShade="BF"/>
                <w:szCs w:val="24"/>
                <w:lang w:eastAsia="zh-CN"/>
              </w:rPr>
              <w:t>【学生】</w:t>
            </w:r>
            <w:r>
              <w:rPr>
                <w:rFonts w:hint="eastAsia" w:ascii="Times New Roman" w:hAnsi="Times New Roman"/>
                <w:color w:val="548235" w:themeColor="accent6" w:themeShade="BF"/>
                <w:szCs w:val="24"/>
              </w:rPr>
              <w:t>班干部报请假人员及原因</w:t>
            </w:r>
          </w:p>
        </w:tc>
        <w:tc>
          <w:tcPr>
            <w:tcW w:w="1366" w:type="dxa"/>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0" w:right="0"/>
              <w:jc w:val="center"/>
              <w:textAlignment w:val="auto"/>
              <w:rPr>
                <w:rFonts w:hint="default" w:ascii="Times New Roman" w:hAnsi="Times New Roman"/>
                <w:szCs w:val="20"/>
              </w:rPr>
            </w:pPr>
            <w:r>
              <w:rPr>
                <w:rFonts w:hint="eastAsia" w:ascii="Times New Roman" w:hAnsi="Times New Roman"/>
                <w:szCs w:val="20"/>
              </w:rPr>
              <w:t>培养学生的组织纪律性,掌握学生的出勤情况</w:t>
            </w:r>
          </w:p>
        </w:tc>
      </w:tr>
      <w:tr>
        <w:trPr>
          <w:trHeight w:val="699" w:hRule="atLeast"/>
          <w:jc w:val="center"/>
        </w:trPr>
        <w:tc>
          <w:tcPr>
            <w:tcW w:w="1276" w:type="dxa"/>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ind w:left="0" w:right="0"/>
              <w:textAlignment w:val="auto"/>
              <w:rPr>
                <w:rFonts w:hint="eastAsia" w:ascii="微软雅黑" w:hAnsi="微软雅黑" w:eastAsia="微软雅黑"/>
                <w:b/>
                <w:sz w:val="24"/>
                <w:szCs w:val="24"/>
                <w:lang w:eastAsia="zh-CN"/>
              </w:rPr>
            </w:pPr>
            <w:r>
              <w:rPr>
                <w:rFonts w:hint="eastAsia" w:ascii="微软雅黑" w:hAnsi="微软雅黑" w:eastAsia="微软雅黑"/>
                <w:b/>
                <w:sz w:val="24"/>
                <w:szCs w:val="24"/>
                <w:lang w:eastAsia="zh-CN"/>
              </w:rPr>
              <w:t>知识讲解</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0" w:right="0" w:hanging="8"/>
              <w:jc w:val="center"/>
              <w:textAlignment w:val="auto"/>
              <w:rPr>
                <w:rFonts w:hint="default" w:ascii="Times New Roman" w:hAnsi="Times New Roman"/>
                <w:b/>
                <w:szCs w:val="24"/>
              </w:rPr>
            </w:pPr>
            <w:r>
              <w:rPr>
                <w:rFonts w:hint="default" w:ascii="Times New Roman" w:hAnsi="Times New Roman"/>
                <w:szCs w:val="24"/>
              </w:rPr>
              <w:t>（</w:t>
            </w:r>
            <w:r>
              <w:rPr>
                <w:rFonts w:hint="eastAsia" w:ascii="Times New Roman" w:hAnsi="Times New Roman"/>
                <w:szCs w:val="24"/>
                <w:lang w:val="en-US" w:eastAsia="zh-CN"/>
              </w:rPr>
              <w:t>40</w:t>
            </w:r>
            <w:r>
              <w:rPr>
                <w:rFonts w:hint="eastAsia" w:ascii="Times New Roman" w:hAnsi="Times New Roman"/>
                <w:szCs w:val="24"/>
              </w:rPr>
              <w:t>min</w:t>
            </w:r>
            <w:r>
              <w:rPr>
                <w:rFonts w:hint="default" w:ascii="Times New Roman" w:hAnsi="Times New Roman"/>
                <w:szCs w:val="24"/>
              </w:rPr>
              <w:t>）</w:t>
            </w:r>
          </w:p>
        </w:tc>
        <w:tc>
          <w:tcPr>
            <w:tcW w:w="5807" w:type="dxa"/>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textAlignment w:val="auto"/>
              <w:rPr>
                <w:rFonts w:hint="eastAsia" w:ascii="Times New Roman" w:hAnsi="Times New Roman"/>
                <w:b/>
                <w:color w:val="C00000"/>
                <w:lang w:eastAsia="zh-CN"/>
              </w:rPr>
            </w:pPr>
            <w:r>
              <w:rPr>
                <w:rFonts w:hint="eastAsia" w:ascii="Times New Roman" w:hAnsi="Times New Roman"/>
                <w:b/>
                <w:color w:val="C00000"/>
              </w:rPr>
              <w:t>【教师】</w:t>
            </w:r>
            <w:r>
              <w:rPr>
                <w:rFonts w:hint="eastAsia" w:ascii="Times New Roman" w:hAnsi="Times New Roman"/>
                <w:b w:val="0"/>
                <w:bCs/>
                <w:color w:val="C00000"/>
                <w:lang w:val="en-US" w:eastAsia="zh-CN"/>
              </w:rPr>
              <w:t>展示财务分析概述</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textAlignment w:val="auto"/>
              <w:rPr>
                <w:rFonts w:hint="eastAsia" w:ascii="Times New Roman" w:hAnsi="Times New Roman"/>
                <w:b/>
                <w:bCs w:val="0"/>
                <w:color w:val="000000" w:themeColor="text1"/>
                <w:lang w:eastAsia="zh-CN"/>
                <w14:textFill>
                  <w14:solidFill>
                    <w14:schemeClr w14:val="tx1"/>
                  </w14:solidFill>
                </w14:textFill>
              </w:rPr>
            </w:pPr>
            <w:r>
              <w:rPr>
                <w:rFonts w:hint="eastAsia" w:ascii="Times New Roman" w:hAnsi="Times New Roman"/>
                <w:b/>
                <w:bCs w:val="0"/>
                <w:color w:val="000000" w:themeColor="text1"/>
                <w:lang w:eastAsia="zh-CN"/>
                <w14:textFill>
                  <w14:solidFill>
                    <w14:schemeClr w14:val="tx1"/>
                  </w14:solidFill>
                </w14:textFill>
              </w:rPr>
              <w:t>一、财务分析意义</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textAlignment w:val="auto"/>
              <w:rPr>
                <w:rFonts w:hint="eastAsia" w:ascii="Times New Roman" w:hAnsi="Times New Roman"/>
                <w:b w:val="0"/>
                <w:bCs/>
                <w:color w:val="000000" w:themeColor="text1"/>
                <w:lang w:eastAsia="zh-CN"/>
                <w14:textFill>
                  <w14:solidFill>
                    <w14:schemeClr w14:val="tx1"/>
                  </w14:solidFill>
                </w14:textFill>
              </w:rPr>
            </w:pPr>
            <w:r>
              <w:rPr>
                <w:rFonts w:hint="eastAsia" w:ascii="Times New Roman" w:hAnsi="Times New Roman"/>
                <w:b w:val="0"/>
                <w:bCs/>
                <w:color w:val="000000" w:themeColor="text1"/>
                <w:lang w:eastAsia="zh-CN"/>
                <w14:textFill>
                  <w14:solidFill>
                    <w14:schemeClr w14:val="tx1"/>
                  </w14:solidFill>
                </w14:textFill>
              </w:rPr>
              <w:t>财务分析是以会计核算和报表资料及其他相关资料为依据，采用一系列专门的分析技术和方法，对企业等经济组织过去和现在有关筹资活动、投资活动、经营活动、分配活动的盈利能力、营运能力、偿债能力和增长能力状况等进行分析与评价的经济管理活动。它是为企业的投资者、债权人、经营者及其他关心企业的组织或个人了解企业过去、评价企业现状、预测企业未来做出正确决策提供准确的信息或依据的经济应用学科。</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textAlignment w:val="auto"/>
              <w:rPr>
                <w:rFonts w:hint="eastAsia" w:ascii="Times New Roman" w:hAnsi="Times New Roman"/>
                <w:b w:val="0"/>
                <w:bCs/>
                <w:color w:val="000000" w:themeColor="text1"/>
                <w:lang w:eastAsia="zh-CN"/>
                <w14:textFill>
                  <w14:solidFill>
                    <w14:schemeClr w14:val="tx1"/>
                  </w14:solidFill>
                </w14:textFill>
              </w:rPr>
            </w:pPr>
            <w:r>
              <w:rPr>
                <w:rFonts w:hint="eastAsia" w:ascii="Times New Roman" w:hAnsi="Times New Roman"/>
                <w:b/>
                <w:bCs w:val="0"/>
                <w:color w:val="000000" w:themeColor="text1"/>
                <w:lang w:eastAsia="zh-CN"/>
                <w14:textFill>
                  <w14:solidFill>
                    <w14:schemeClr w14:val="tx1"/>
                  </w14:solidFill>
                </w14:textFill>
              </w:rPr>
              <w:t>（一）财务分析是评价企业财务状况、衡量经营业绩的重要依据</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textAlignment w:val="auto"/>
              <w:rPr>
                <w:rFonts w:hint="eastAsia" w:ascii="Times New Roman" w:hAnsi="Times New Roman"/>
                <w:b w:val="0"/>
                <w:bCs/>
                <w:color w:val="000000" w:themeColor="text1"/>
                <w:lang w:eastAsia="zh-CN"/>
                <w14:textFill>
                  <w14:solidFill>
                    <w14:schemeClr w14:val="tx1"/>
                  </w14:solidFill>
                </w14:textFill>
              </w:rPr>
            </w:pPr>
            <w:r>
              <w:rPr>
                <w:rFonts w:hint="eastAsia" w:ascii="Times New Roman" w:hAnsi="Times New Roman"/>
                <w:b w:val="0"/>
                <w:bCs/>
                <w:color w:val="000000" w:themeColor="text1"/>
                <w:lang w:eastAsia="zh-CN"/>
                <w14:textFill>
                  <w14:solidFill>
                    <w14:schemeClr w14:val="tx1"/>
                  </w14:solidFill>
                </w14:textFill>
              </w:rPr>
              <w:t>通过对财务报告等核算资料进行分析、计算企业偿债能力、营运能力和盈利能力指标，便于会计信息使用者了解企业财务状况和经营成果，并通过分析将影响财务状况和经营成果的主要因素与次要因素、主观因素与客观因素、微观因素与宏观因素区分开来，以划清责任，合理评价企业经营者的工作业绩，并据以奖优罚劣，促使企业管理者不断改进企业经营管理工作。</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textAlignment w:val="auto"/>
              <w:rPr>
                <w:rFonts w:hint="eastAsia" w:ascii="Times New Roman" w:hAnsi="Times New Roman"/>
                <w:b w:val="0"/>
                <w:bCs/>
                <w:color w:val="000000" w:themeColor="text1"/>
                <w:lang w:eastAsia="zh-CN"/>
                <w14:textFill>
                  <w14:solidFill>
                    <w14:schemeClr w14:val="tx1"/>
                  </w14:solidFill>
                </w14:textFill>
              </w:rPr>
            </w:pPr>
            <w:r>
              <w:rPr>
                <w:rFonts w:hint="eastAsia" w:ascii="Times New Roman" w:hAnsi="Times New Roman"/>
                <w:b/>
                <w:bCs w:val="0"/>
                <w:color w:val="000000" w:themeColor="text1"/>
                <w:lang w:eastAsia="zh-CN"/>
                <w14:textFill>
                  <w14:solidFill>
                    <w14:schemeClr w14:val="tx1"/>
                  </w14:solidFill>
                </w14:textFill>
              </w:rPr>
              <w:t>（二）财务分析是正确开展决策的重要依据</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textAlignment w:val="auto"/>
              <w:rPr>
                <w:rFonts w:hint="eastAsia" w:ascii="Times New Roman" w:hAnsi="Times New Roman"/>
                <w:b w:val="0"/>
                <w:bCs/>
                <w:color w:val="000000" w:themeColor="text1"/>
                <w:lang w:eastAsia="zh-CN"/>
                <w14:textFill>
                  <w14:solidFill>
                    <w14:schemeClr w14:val="tx1"/>
                  </w14:solidFill>
                </w14:textFill>
              </w:rPr>
            </w:pPr>
            <w:r>
              <w:rPr>
                <w:rFonts w:hint="eastAsia" w:ascii="Times New Roman" w:hAnsi="Times New Roman"/>
                <w:b w:val="0"/>
                <w:bCs/>
                <w:color w:val="000000" w:themeColor="text1"/>
                <w:lang w:eastAsia="zh-CN"/>
                <w14:textFill>
                  <w14:solidFill>
                    <w14:schemeClr w14:val="tx1"/>
                  </w14:solidFill>
                </w14:textFill>
              </w:rPr>
              <w:t>通过财务分析，根据企业的获利能力、偿债能力、营运能力等财务指标，了解和掌握企业的财务状况、经营成果及风险程度，以便于企业管理者做出正确的经营决策，外部投资者可据以做出正确的投资决策。</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textAlignment w:val="auto"/>
              <w:rPr>
                <w:rFonts w:hint="eastAsia" w:ascii="Times New Roman" w:hAnsi="Times New Roman"/>
                <w:b/>
                <w:bCs w:val="0"/>
                <w:color w:val="000000" w:themeColor="text1"/>
                <w:lang w:eastAsia="zh-CN"/>
                <w14:textFill>
                  <w14:solidFill>
                    <w14:schemeClr w14:val="tx1"/>
                  </w14:solidFill>
                </w14:textFill>
              </w:rPr>
            </w:pPr>
            <w:r>
              <w:rPr>
                <w:rFonts w:hint="eastAsia" w:ascii="Times New Roman" w:hAnsi="Times New Roman"/>
                <w:b/>
                <w:bCs w:val="0"/>
                <w:color w:val="000000" w:themeColor="text1"/>
                <w:lang w:eastAsia="zh-CN"/>
                <w14:textFill>
                  <w14:solidFill>
                    <w14:schemeClr w14:val="tx1"/>
                  </w14:solidFill>
                </w14:textFill>
              </w:rPr>
              <w:t>（三）财务分析是实现理财目标的重要手段</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textAlignment w:val="auto"/>
              <w:rPr>
                <w:rFonts w:hint="eastAsia" w:ascii="Times New Roman" w:hAnsi="Times New Roman"/>
                <w:b w:val="0"/>
                <w:bCs/>
                <w:color w:val="000000" w:themeColor="text1"/>
                <w:lang w:eastAsia="zh-CN"/>
                <w14:textFill>
                  <w14:solidFill>
                    <w14:schemeClr w14:val="tx1"/>
                  </w14:solidFill>
                </w14:textFill>
              </w:rPr>
            </w:pPr>
            <w:r>
              <w:rPr>
                <w:rFonts w:hint="eastAsia" w:ascii="Times New Roman" w:hAnsi="Times New Roman"/>
                <w:b w:val="0"/>
                <w:bCs/>
                <w:color w:val="000000" w:themeColor="text1"/>
                <w:lang w:eastAsia="zh-CN"/>
                <w14:textFill>
                  <w14:solidFill>
                    <w14:schemeClr w14:val="tx1"/>
                  </w14:solidFill>
                </w14:textFill>
              </w:rPr>
              <w:t>企业理财的目标就是实现企业价值最大化。通过财务分析，可以揭示企业生产经营过程中存在的问题，找问题的原因，或者不断挖掘改善财务状况，扩大财务成果的内部潜力，充分认识未被利用的人力资源和物质资源，寻找资源利用不当的原因，促使企业生产经营活动按照企业价值最大化目标运行。</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textAlignment w:val="auto"/>
              <w:rPr>
                <w:rFonts w:hint="eastAsia" w:ascii="Times New Roman" w:hAnsi="Times New Roman"/>
                <w:b/>
                <w:bCs w:val="0"/>
                <w:color w:val="000000" w:themeColor="text1"/>
                <w:lang w:eastAsia="zh-CN"/>
                <w14:textFill>
                  <w14:solidFill>
                    <w14:schemeClr w14:val="tx1"/>
                  </w14:solidFill>
                </w14:textFill>
              </w:rPr>
            </w:pPr>
            <w:r>
              <w:rPr>
                <w:rFonts w:hint="eastAsia" w:ascii="Times New Roman" w:hAnsi="Times New Roman"/>
                <w:b/>
                <w:bCs w:val="0"/>
                <w:color w:val="000000" w:themeColor="text1"/>
                <w:lang w:eastAsia="zh-CN"/>
                <w14:textFill>
                  <w14:solidFill>
                    <w14:schemeClr w14:val="tx1"/>
                  </w14:solidFill>
                </w14:textFill>
              </w:rPr>
              <w:t>二、财务分析的原则</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textAlignment w:val="auto"/>
              <w:rPr>
                <w:rFonts w:hint="eastAsia" w:ascii="Times New Roman" w:hAnsi="Times New Roman"/>
                <w:b w:val="0"/>
                <w:bCs/>
                <w:color w:val="000000" w:themeColor="text1"/>
                <w:lang w:eastAsia="zh-CN"/>
                <w14:textFill>
                  <w14:solidFill>
                    <w14:schemeClr w14:val="tx1"/>
                  </w14:solidFill>
                </w14:textFill>
              </w:rPr>
            </w:pPr>
            <w:r>
              <w:rPr>
                <w:rFonts w:hint="eastAsia" w:ascii="Times New Roman" w:hAnsi="Times New Roman"/>
                <w:b w:val="0"/>
                <w:bCs/>
                <w:color w:val="000000" w:themeColor="text1"/>
                <w:lang w:eastAsia="zh-CN"/>
                <w14:textFill>
                  <w14:solidFill>
                    <w14:schemeClr w14:val="tx1"/>
                  </w14:solidFill>
                </w14:textFill>
              </w:rPr>
              <w:t>为了使财务分析的结果客观、真实、准确，开展财务分析应遵循以下原则。</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textAlignment w:val="auto"/>
              <w:rPr>
                <w:rFonts w:hint="eastAsia" w:ascii="Times New Roman" w:hAnsi="Times New Roman"/>
                <w:b w:val="0"/>
                <w:bCs/>
                <w:color w:val="000000" w:themeColor="text1"/>
                <w:lang w:eastAsia="zh-CN"/>
                <w14:textFill>
                  <w14:solidFill>
                    <w14:schemeClr w14:val="tx1"/>
                  </w14:solidFill>
                </w14:textFill>
              </w:rPr>
            </w:pPr>
            <w:r>
              <w:rPr>
                <w:rFonts w:hint="eastAsia" w:ascii="Times New Roman" w:hAnsi="Times New Roman"/>
                <w:b w:val="0"/>
                <w:bCs/>
                <w:color w:val="000000" w:themeColor="text1"/>
                <w:lang w:eastAsia="zh-CN"/>
                <w14:textFill>
                  <w14:solidFill>
                    <w14:schemeClr w14:val="tx1"/>
                  </w14:solidFill>
                </w14:textFill>
              </w:rPr>
              <w:t>（1）要从实际出发，坚持实事求是，反对主观臆断，结论先行，搞数字游戏。</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textAlignment w:val="auto"/>
              <w:rPr>
                <w:rFonts w:hint="eastAsia" w:ascii="Times New Roman" w:hAnsi="Times New Roman"/>
                <w:b w:val="0"/>
                <w:bCs/>
                <w:color w:val="000000" w:themeColor="text1"/>
                <w:lang w:eastAsia="zh-CN"/>
                <w14:textFill>
                  <w14:solidFill>
                    <w14:schemeClr w14:val="tx1"/>
                  </w14:solidFill>
                </w14:textFill>
              </w:rPr>
            </w:pPr>
            <w:r>
              <w:rPr>
                <w:rFonts w:hint="eastAsia" w:ascii="Times New Roman" w:hAnsi="Times New Roman"/>
                <w:b w:val="0"/>
                <w:bCs/>
                <w:color w:val="000000" w:themeColor="text1"/>
                <w:lang w:eastAsia="zh-CN"/>
                <w14:textFill>
                  <w14:solidFill>
                    <w14:schemeClr w14:val="tx1"/>
                  </w14:solidFill>
                </w14:textFill>
              </w:rPr>
              <w:t>（2）要全面分析问题，坚持一分为二，反对片面分析问题。要兼顾成功经验与失败教训、有利因素与不利因素、经济问题与技术问题、外部问题与内部问题。</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textAlignment w:val="auto"/>
              <w:rPr>
                <w:rFonts w:hint="eastAsia" w:ascii="Times New Roman" w:hAnsi="Times New Roman"/>
                <w:b w:val="0"/>
                <w:bCs/>
                <w:color w:val="000000" w:themeColor="text1"/>
                <w:lang w:eastAsia="zh-CN"/>
                <w14:textFill>
                  <w14:solidFill>
                    <w14:schemeClr w14:val="tx1"/>
                  </w14:solidFill>
                </w14:textFill>
              </w:rPr>
            </w:pPr>
            <w:r>
              <w:rPr>
                <w:rFonts w:hint="eastAsia" w:ascii="Times New Roman" w:hAnsi="Times New Roman"/>
                <w:b w:val="0"/>
                <w:bCs/>
                <w:color w:val="000000" w:themeColor="text1"/>
                <w:lang w:eastAsia="zh-CN"/>
                <w14:textFill>
                  <w14:solidFill>
                    <w14:schemeClr w14:val="tx1"/>
                  </w14:solidFill>
                </w14:textFill>
              </w:rPr>
              <w:t>（3）要注重事物的联系，坚持相互联系地分析问题，反对孤立地分析问题。要注意局部与全局的关系、偿债能力与盈利能力的关系、报酬与风险的关系。</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textAlignment w:val="auto"/>
              <w:rPr>
                <w:rFonts w:hint="eastAsia" w:ascii="Times New Roman" w:hAnsi="Times New Roman"/>
                <w:b w:val="0"/>
                <w:bCs/>
                <w:color w:val="000000" w:themeColor="text1"/>
                <w:lang w:eastAsia="zh-CN"/>
                <w14:textFill>
                  <w14:solidFill>
                    <w14:schemeClr w14:val="tx1"/>
                  </w14:solidFill>
                </w14:textFill>
              </w:rPr>
            </w:pPr>
            <w:r>
              <w:rPr>
                <w:rFonts w:hint="eastAsia" w:ascii="Times New Roman" w:hAnsi="Times New Roman"/>
                <w:b w:val="0"/>
                <w:bCs/>
                <w:color w:val="000000" w:themeColor="text1"/>
                <w:lang w:eastAsia="zh-CN"/>
                <w14:textFill>
                  <w14:solidFill>
                    <w14:schemeClr w14:val="tx1"/>
                  </w14:solidFill>
                </w14:textFill>
              </w:rPr>
              <w:t>（4）要发展地分析问题，反对静止地分析问题。要注意过去、现在和将来的关系。</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textAlignment w:val="auto"/>
              <w:rPr>
                <w:rFonts w:hint="eastAsia" w:ascii="Times New Roman" w:hAnsi="Times New Roman"/>
                <w:b w:val="0"/>
                <w:bCs/>
                <w:color w:val="000000" w:themeColor="text1"/>
                <w:lang w:eastAsia="zh-CN"/>
                <w14:textFill>
                  <w14:solidFill>
                    <w14:schemeClr w14:val="tx1"/>
                  </w14:solidFill>
                </w14:textFill>
              </w:rPr>
            </w:pPr>
            <w:r>
              <w:rPr>
                <w:rFonts w:hint="eastAsia" w:ascii="Times New Roman" w:hAnsi="Times New Roman"/>
                <w:b w:val="0"/>
                <w:bCs/>
                <w:color w:val="000000" w:themeColor="text1"/>
                <w:lang w:eastAsia="zh-CN"/>
                <w14:textFill>
                  <w14:solidFill>
                    <w14:schemeClr w14:val="tx1"/>
                  </w14:solidFill>
                </w14:textFill>
              </w:rPr>
              <w:t>（5）要定量分析与定性分析相结合，坚持定量分析为主。定性分析是基础和前提，没有定性分析就不清楚本质、趋势和与其他事物的联系。定量分析是工具和手段，没有定量分析，就不清楚数量界限、阶段性和特殊性。财务分析要透过数字看本质，没有数字，就得不出结论。</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textAlignment w:val="auto"/>
              <w:rPr>
                <w:rFonts w:hint="eastAsia" w:ascii="Times New Roman" w:hAnsi="Times New Roman"/>
                <w:b w:val="0"/>
                <w:bCs/>
                <w:color w:val="000000" w:themeColor="text1"/>
                <w:lang w:eastAsia="zh-CN"/>
                <w14:textFill>
                  <w14:solidFill>
                    <w14:schemeClr w14:val="tx1"/>
                  </w14:solidFill>
                </w14:textFill>
              </w:rPr>
            </w:pPr>
            <w:r>
              <w:rPr>
                <w:rFonts w:hint="eastAsia" w:ascii="Times New Roman" w:hAnsi="Times New Roman"/>
                <w:b/>
                <w:bCs w:val="0"/>
                <w:color w:val="000000" w:themeColor="text1"/>
                <w:lang w:eastAsia="zh-CN"/>
                <w14:textFill>
                  <w14:solidFill>
                    <w14:schemeClr w14:val="tx1"/>
                  </w14:solidFill>
                </w14:textFill>
              </w:rPr>
              <w:t>三、财务分析的内容</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textAlignment w:val="auto"/>
              <w:rPr>
                <w:rFonts w:hint="eastAsia" w:ascii="Times New Roman" w:hAnsi="Times New Roman"/>
                <w:b w:val="0"/>
                <w:bCs/>
                <w:color w:val="000000" w:themeColor="text1"/>
                <w:lang w:eastAsia="zh-CN"/>
                <w14:textFill>
                  <w14:solidFill>
                    <w14:schemeClr w14:val="tx1"/>
                  </w14:solidFill>
                </w14:textFill>
              </w:rPr>
            </w:pPr>
            <w:r>
              <w:rPr>
                <w:rFonts w:hint="eastAsia" w:ascii="Times New Roman" w:hAnsi="Times New Roman"/>
                <w:b w:val="0"/>
                <w:bCs/>
                <w:color w:val="000000" w:themeColor="text1"/>
                <w:lang w:eastAsia="zh-CN"/>
                <w14:textFill>
                  <w14:solidFill>
                    <w14:schemeClr w14:val="tx1"/>
                  </w14:solidFill>
                </w14:textFill>
              </w:rPr>
              <w:t>财务分析的主体，决定了财务分析的要求和侧重点。一般情况下，财务分析的基本内容包括以下三个方面。</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textAlignment w:val="auto"/>
              <w:rPr>
                <w:rFonts w:hint="eastAsia" w:ascii="Times New Roman" w:hAnsi="Times New Roman"/>
                <w:b w:val="0"/>
                <w:bCs/>
                <w:color w:val="000000" w:themeColor="text1"/>
                <w:lang w:eastAsia="zh-CN"/>
                <w14:textFill>
                  <w14:solidFill>
                    <w14:schemeClr w14:val="tx1"/>
                  </w14:solidFill>
                </w14:textFill>
              </w:rPr>
            </w:pPr>
            <w:r>
              <w:rPr>
                <w:rFonts w:hint="eastAsia" w:ascii="Times New Roman" w:hAnsi="Times New Roman"/>
                <w:b/>
                <w:bCs w:val="0"/>
                <w:color w:val="000000" w:themeColor="text1"/>
                <w:lang w:eastAsia="zh-CN"/>
                <w14:textFill>
                  <w14:solidFill>
                    <w14:schemeClr w14:val="tx1"/>
                  </w14:solidFill>
                </w14:textFill>
              </w:rPr>
              <w:t>（一）偿债能力分析</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textAlignment w:val="auto"/>
              <w:rPr>
                <w:rFonts w:hint="eastAsia" w:ascii="Times New Roman" w:hAnsi="Times New Roman"/>
                <w:b w:val="0"/>
                <w:bCs/>
                <w:color w:val="000000" w:themeColor="text1"/>
                <w:lang w:eastAsia="zh-CN"/>
                <w14:textFill>
                  <w14:solidFill>
                    <w14:schemeClr w14:val="tx1"/>
                  </w14:solidFill>
                </w14:textFill>
              </w:rPr>
            </w:pPr>
            <w:r>
              <w:rPr>
                <w:rFonts w:hint="eastAsia" w:ascii="Times New Roman" w:hAnsi="Times New Roman"/>
                <w:b w:val="0"/>
                <w:bCs/>
                <w:color w:val="000000" w:themeColor="text1"/>
                <w:lang w:eastAsia="zh-CN"/>
                <w14:textFill>
                  <w14:solidFill>
                    <w14:schemeClr w14:val="tx1"/>
                  </w14:solidFill>
                </w14:textFill>
              </w:rPr>
              <w:t>偿债能力是指企业按期偿付债务的能力，包括短期偿债能力和长期偿债能力。由于短期债务是企业日常经营活动弥补营运资金不足的重要来源，通过分析，有助于判断企业短期资金的营运能力以及营运资金的周转状况。通过对长期偿债能力的分析，不仅可以判断企业的经营状况，还可促使企业提高融通资金的能力。从债权人角度看，通过偿债能力分析，有助于了解其债权的安全性，以保证债权能够及时、足额地得以偿还。</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textAlignment w:val="auto"/>
              <w:rPr>
                <w:rFonts w:hint="eastAsia" w:ascii="Times New Roman" w:hAnsi="Times New Roman"/>
                <w:b w:val="0"/>
                <w:bCs/>
                <w:color w:val="000000" w:themeColor="text1"/>
                <w:lang w:eastAsia="zh-CN"/>
                <w14:textFill>
                  <w14:solidFill>
                    <w14:schemeClr w14:val="tx1"/>
                  </w14:solidFill>
                </w14:textFill>
              </w:rPr>
            </w:pPr>
            <w:r>
              <w:rPr>
                <w:rFonts w:hint="eastAsia" w:ascii="Times New Roman" w:hAnsi="Times New Roman"/>
                <w:b/>
                <w:bCs w:val="0"/>
                <w:color w:val="000000" w:themeColor="text1"/>
                <w:lang w:eastAsia="zh-CN"/>
                <w14:textFill>
                  <w14:solidFill>
                    <w14:schemeClr w14:val="tx1"/>
                  </w14:solidFill>
                </w14:textFill>
              </w:rPr>
              <w:t>（二）营运能力分析</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textAlignment w:val="auto"/>
              <w:rPr>
                <w:rFonts w:hint="eastAsia" w:ascii="Times New Roman" w:hAnsi="Times New Roman"/>
                <w:b w:val="0"/>
                <w:bCs/>
                <w:color w:val="000000" w:themeColor="text1"/>
                <w:lang w:eastAsia="zh-CN"/>
                <w14:textFill>
                  <w14:solidFill>
                    <w14:schemeClr w14:val="tx1"/>
                  </w14:solidFill>
                </w14:textFill>
              </w:rPr>
            </w:pPr>
            <w:r>
              <w:rPr>
                <w:rFonts w:hint="eastAsia" w:ascii="Times New Roman" w:hAnsi="Times New Roman"/>
                <w:b w:val="0"/>
                <w:bCs/>
                <w:color w:val="000000" w:themeColor="text1"/>
                <w:lang w:eastAsia="zh-CN"/>
                <w14:textFill>
                  <w14:solidFill>
                    <w14:schemeClr w14:val="tx1"/>
                  </w14:solidFill>
                </w14:textFill>
              </w:rPr>
              <w:t>营运能力分析主要揭示企业资产管理能力。通过营运能力分析，了解企业各项资产的使用效果、资金周转的快慢，以挖掘资金使用的潜力，提高资金的使用效率。</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textAlignment w:val="auto"/>
              <w:rPr>
                <w:rFonts w:hint="eastAsia" w:ascii="Times New Roman" w:hAnsi="Times New Roman"/>
                <w:b/>
                <w:bCs w:val="0"/>
                <w:color w:val="000000" w:themeColor="text1"/>
                <w:lang w:eastAsia="zh-CN"/>
                <w14:textFill>
                  <w14:solidFill>
                    <w14:schemeClr w14:val="tx1"/>
                  </w14:solidFill>
                </w14:textFill>
              </w:rPr>
            </w:pPr>
            <w:r>
              <w:rPr>
                <w:rFonts w:hint="eastAsia" w:ascii="Times New Roman" w:hAnsi="Times New Roman"/>
                <w:b/>
                <w:bCs w:val="0"/>
                <w:color w:val="000000" w:themeColor="text1"/>
                <w:lang w:eastAsia="zh-CN"/>
                <w14:textFill>
                  <w14:solidFill>
                    <w14:schemeClr w14:val="tx1"/>
                  </w14:solidFill>
                </w14:textFill>
              </w:rPr>
              <w:t>（三）盈利能力分析</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textAlignment w:val="auto"/>
              <w:rPr>
                <w:rFonts w:hint="eastAsia" w:ascii="Times New Roman" w:hAnsi="Times New Roman"/>
                <w:b w:val="0"/>
                <w:bCs/>
                <w:color w:val="000000" w:themeColor="text1"/>
                <w:lang w:eastAsia="zh-CN"/>
                <w14:textFill>
                  <w14:solidFill>
                    <w14:schemeClr w14:val="tx1"/>
                  </w14:solidFill>
                </w14:textFill>
              </w:rPr>
            </w:pPr>
            <w:r>
              <w:rPr>
                <w:rFonts w:hint="eastAsia" w:ascii="Times New Roman" w:hAnsi="Times New Roman"/>
                <w:b w:val="0"/>
                <w:bCs/>
                <w:color w:val="000000" w:themeColor="text1"/>
                <w:lang w:eastAsia="zh-CN"/>
                <w14:textFill>
                  <w14:solidFill>
                    <w14:schemeClr w14:val="tx1"/>
                  </w14:solidFill>
                </w14:textFill>
              </w:rPr>
              <w:t>盈利能力分析主要通过将资产、负债、所有者权益与经营成果相结合来分析企业的各项报酬率指标，从不同角度判断企业的获利能力。通过盈利能力分析，了解企业生产经营管理状况。</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textAlignment w:val="auto"/>
              <w:rPr>
                <w:rFonts w:hint="eastAsia" w:ascii="Times New Roman" w:hAnsi="Times New Roman"/>
                <w:b w:val="0"/>
                <w:bCs/>
                <w:color w:val="000000" w:themeColor="text1"/>
                <w:lang w:eastAsia="zh-CN"/>
                <w14:textFill>
                  <w14:solidFill>
                    <w14:schemeClr w14:val="tx1"/>
                  </w14:solidFill>
                </w14:textFill>
              </w:rPr>
            </w:pPr>
            <w:r>
              <w:rPr>
                <w:rFonts w:hint="eastAsia" w:ascii="Times New Roman" w:hAnsi="Times New Roman"/>
                <w:b/>
                <w:bCs w:val="0"/>
                <w:color w:val="000000" w:themeColor="text1"/>
                <w:lang w:eastAsia="zh-CN"/>
                <w14:textFill>
                  <w14:solidFill>
                    <w14:schemeClr w14:val="tx1"/>
                  </w14:solidFill>
                </w14:textFill>
              </w:rPr>
              <w:t>四、财务分析的程序</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textAlignment w:val="auto"/>
              <w:rPr>
                <w:rFonts w:hint="eastAsia" w:ascii="Times New Roman" w:hAnsi="Times New Roman"/>
                <w:b w:val="0"/>
                <w:bCs/>
                <w:color w:val="000000" w:themeColor="text1"/>
                <w:lang w:eastAsia="zh-CN"/>
                <w14:textFill>
                  <w14:solidFill>
                    <w14:schemeClr w14:val="tx1"/>
                  </w14:solidFill>
                </w14:textFill>
              </w:rPr>
            </w:pPr>
            <w:r>
              <w:rPr>
                <w:rFonts w:hint="eastAsia" w:ascii="Times New Roman" w:hAnsi="Times New Roman"/>
                <w:b w:val="0"/>
                <w:bCs/>
                <w:color w:val="000000" w:themeColor="text1"/>
                <w:lang w:eastAsia="zh-CN"/>
                <w14:textFill>
                  <w14:solidFill>
                    <w14:schemeClr w14:val="tx1"/>
                  </w14:solidFill>
                </w14:textFill>
              </w:rPr>
              <w:t>为了使财务分析工作有条不紊地进行，需要确定财务分析的程序。财务分析的内容非常广泛，不同的人、用于不同的目的、根据不同的数据范围，应采用不同的方法来进行财务分析。财务分析不存在唯一的通用分析程序，但是财务分析</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right="0"/>
              <w:textAlignment w:val="auto"/>
              <w:rPr>
                <w:rFonts w:hint="eastAsia" w:ascii="Times New Roman" w:hAnsi="Times New Roman"/>
                <w:b w:val="0"/>
                <w:bCs/>
                <w:color w:val="000000" w:themeColor="text1"/>
                <w:lang w:eastAsia="zh-CN"/>
                <w14:textFill>
                  <w14:solidFill>
                    <w14:schemeClr w14:val="tx1"/>
                  </w14:solidFill>
                </w14:textFill>
              </w:rPr>
            </w:pPr>
            <w:r>
              <w:rPr>
                <w:rFonts w:hint="eastAsia" w:ascii="Times New Roman" w:hAnsi="Times New Roman"/>
                <w:b w:val="0"/>
                <w:bCs/>
                <w:color w:val="000000" w:themeColor="text1"/>
                <w:lang w:eastAsia="zh-CN"/>
                <w14:textFill>
                  <w14:solidFill>
                    <w14:schemeClr w14:val="tx1"/>
                  </w14:solidFill>
                </w14:textFill>
              </w:rPr>
              <w:t>的一般步骤如下。</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textAlignment w:val="auto"/>
              <w:rPr>
                <w:rFonts w:hint="eastAsia" w:ascii="Times New Roman" w:hAnsi="Times New Roman"/>
                <w:b w:val="0"/>
                <w:bCs/>
                <w:color w:val="000000" w:themeColor="text1"/>
                <w:lang w:eastAsia="zh-CN"/>
                <w14:textFill>
                  <w14:solidFill>
                    <w14:schemeClr w14:val="tx1"/>
                  </w14:solidFill>
                </w14:textFill>
              </w:rPr>
            </w:pPr>
            <w:r>
              <w:rPr>
                <w:rFonts w:hint="eastAsia" w:ascii="Times New Roman" w:hAnsi="Times New Roman"/>
                <w:b w:val="0"/>
                <w:bCs/>
                <w:color w:val="000000" w:themeColor="text1"/>
                <w:lang w:eastAsia="zh-CN"/>
                <w14:textFill>
                  <w14:solidFill>
                    <w14:schemeClr w14:val="tx1"/>
                  </w14:solidFill>
                </w14:textFill>
              </w:rPr>
              <w:t>（1）明确分析的目的。</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textAlignment w:val="auto"/>
              <w:rPr>
                <w:rFonts w:hint="eastAsia" w:ascii="Times New Roman" w:hAnsi="Times New Roman"/>
                <w:b w:val="0"/>
                <w:bCs/>
                <w:color w:val="000000" w:themeColor="text1"/>
                <w:lang w:eastAsia="zh-CN"/>
                <w14:textFill>
                  <w14:solidFill>
                    <w14:schemeClr w14:val="tx1"/>
                  </w14:solidFill>
                </w14:textFill>
              </w:rPr>
            </w:pPr>
            <w:r>
              <w:rPr>
                <w:rFonts w:hint="eastAsia" w:ascii="Times New Roman" w:hAnsi="Times New Roman"/>
                <w:b w:val="0"/>
                <w:bCs/>
                <w:color w:val="000000" w:themeColor="text1"/>
                <w:lang w:eastAsia="zh-CN"/>
                <w14:textFill>
                  <w14:solidFill>
                    <w14:schemeClr w14:val="tx1"/>
                  </w14:solidFill>
                </w14:textFill>
              </w:rPr>
              <w:t>（2）收集有关的信息。</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textAlignment w:val="auto"/>
              <w:rPr>
                <w:rFonts w:hint="eastAsia" w:ascii="Times New Roman" w:hAnsi="Times New Roman"/>
                <w:b w:val="0"/>
                <w:bCs/>
                <w:color w:val="000000" w:themeColor="text1"/>
                <w:lang w:eastAsia="zh-CN"/>
                <w14:textFill>
                  <w14:solidFill>
                    <w14:schemeClr w14:val="tx1"/>
                  </w14:solidFill>
                </w14:textFill>
              </w:rPr>
            </w:pPr>
            <w:r>
              <w:rPr>
                <w:rFonts w:hint="eastAsia" w:ascii="Times New Roman" w:hAnsi="Times New Roman"/>
                <w:b w:val="0"/>
                <w:bCs/>
                <w:color w:val="000000" w:themeColor="text1"/>
                <w:lang w:eastAsia="zh-CN"/>
                <w14:textFill>
                  <w14:solidFill>
                    <w14:schemeClr w14:val="tx1"/>
                  </w14:solidFill>
                </w14:textFill>
              </w:rPr>
              <w:t>（3）根据分析目的将整体的各部分分割，予以适 当 安 排，使之符合分析需求。</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textAlignment w:val="auto"/>
              <w:rPr>
                <w:rFonts w:hint="eastAsia" w:ascii="Times New Roman" w:hAnsi="Times New Roman"/>
                <w:b w:val="0"/>
                <w:bCs/>
                <w:color w:val="000000" w:themeColor="text1"/>
                <w:lang w:eastAsia="zh-CN"/>
                <w14:textFill>
                  <w14:solidFill>
                    <w14:schemeClr w14:val="tx1"/>
                  </w14:solidFill>
                </w14:textFill>
              </w:rPr>
            </w:pPr>
            <w:r>
              <w:rPr>
                <w:rFonts w:hint="eastAsia" w:ascii="Times New Roman" w:hAnsi="Times New Roman"/>
                <w:b w:val="0"/>
                <w:bCs/>
                <w:color w:val="000000" w:themeColor="text1"/>
                <w:lang w:eastAsia="zh-CN"/>
                <w14:textFill>
                  <w14:solidFill>
                    <w14:schemeClr w14:val="tx1"/>
                  </w14:solidFill>
                </w14:textFill>
              </w:rPr>
              <w:t>（4）深入研究各部分的特殊本质。</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textAlignment w:val="auto"/>
              <w:rPr>
                <w:rFonts w:hint="eastAsia" w:ascii="Times New Roman" w:hAnsi="Times New Roman"/>
                <w:b w:val="0"/>
                <w:bCs/>
                <w:color w:val="000000" w:themeColor="text1"/>
                <w:lang w:eastAsia="zh-CN"/>
                <w14:textFill>
                  <w14:solidFill>
                    <w14:schemeClr w14:val="tx1"/>
                  </w14:solidFill>
                </w14:textFill>
              </w:rPr>
            </w:pPr>
            <w:r>
              <w:rPr>
                <w:rFonts w:hint="eastAsia" w:ascii="Times New Roman" w:hAnsi="Times New Roman"/>
                <w:b w:val="0"/>
                <w:bCs/>
                <w:color w:val="000000" w:themeColor="text1"/>
                <w:lang w:eastAsia="zh-CN"/>
                <w14:textFill>
                  <w14:solidFill>
                    <w14:schemeClr w14:val="tx1"/>
                  </w14:solidFill>
                </w14:textFill>
              </w:rPr>
              <w:t>（5）进一步研究各部分的联系。</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textAlignment w:val="auto"/>
              <w:rPr>
                <w:rFonts w:hint="eastAsia" w:ascii="宋体" w:hAnsi="宋体" w:eastAsia="宋体" w:cs="宋体"/>
                <w:b/>
                <w:bCs w:val="0"/>
                <w:color w:val="000000"/>
                <w:kern w:val="2"/>
                <w:sz w:val="21"/>
                <w:szCs w:val="21"/>
                <w:lang w:val="en-US" w:eastAsia="zh-CN" w:bidi="ar"/>
              </w:rPr>
            </w:pPr>
            <w:r>
              <w:rPr>
                <w:rFonts w:hint="eastAsia" w:ascii="Times New Roman" w:hAnsi="Times New Roman"/>
                <w:b w:val="0"/>
                <w:bCs/>
                <w:color w:val="000000" w:themeColor="text1"/>
                <w:lang w:eastAsia="zh-CN"/>
                <w14:textFill>
                  <w14:solidFill>
                    <w14:schemeClr w14:val="tx1"/>
                  </w14:solidFill>
                </w14:textFill>
              </w:rPr>
              <w:t>（6）解释结果，提供对决策有帮助的信息。</w:t>
            </w:r>
            <w:r>
              <w:rPr>
                <w:rFonts w:hint="eastAsia" w:ascii="Times New Roman" w:hAnsi="Times New Roman"/>
                <w:b/>
                <w:color w:val="000000" w:themeColor="text1"/>
                <w:lang w:eastAsia="zh-CN"/>
                <w14:textFill>
                  <w14:solidFill>
                    <w14:schemeClr w14:val="tx1"/>
                  </w14:solidFill>
                </w14:textFill>
              </w:rPr>
              <w:t xml:space="preserve">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jc w:val="left"/>
              <w:textAlignment w:val="auto"/>
              <w:rPr>
                <w:rFonts w:hint="default" w:ascii="Times New Roman" w:hAnsi="Times New Roman"/>
                <w:b/>
              </w:rPr>
            </w:pPr>
            <w:r>
              <w:rPr>
                <w:rFonts w:hint="eastAsia" w:ascii="宋体" w:hAnsi="宋体" w:eastAsia="宋体" w:cs="宋体"/>
                <w:b/>
                <w:bCs/>
                <w:color w:val="538135"/>
                <w:kern w:val="2"/>
                <w:sz w:val="21"/>
                <w:szCs w:val="21"/>
                <w:lang w:val="en-US" w:eastAsia="zh-CN" w:bidi="ar"/>
              </w:rPr>
              <w:t>【学生】</w:t>
            </w:r>
            <w:r>
              <w:rPr>
                <w:rFonts w:hint="eastAsia" w:ascii="宋体" w:hAnsi="宋体" w:eastAsia="宋体" w:cs="宋体"/>
                <w:color w:val="538135"/>
                <w:kern w:val="2"/>
                <w:sz w:val="21"/>
                <w:szCs w:val="21"/>
                <w:lang w:val="en-US" w:eastAsia="zh-CN" w:bidi="ar"/>
              </w:rPr>
              <w:t>思考、讨论。</w:t>
            </w:r>
          </w:p>
        </w:tc>
        <w:tc>
          <w:tcPr>
            <w:tcW w:w="1366" w:type="dxa"/>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0" w:right="0"/>
              <w:jc w:val="left"/>
              <w:textAlignment w:val="auto"/>
              <w:rPr>
                <w:rFonts w:hint="default" w:ascii="Times New Roman" w:hAnsi="Times New Roman"/>
                <w:b/>
                <w:szCs w:val="20"/>
              </w:rPr>
            </w:pPr>
            <w:r>
              <w:rPr>
                <w:rFonts w:hint="eastAsia" w:ascii="Times New Roman" w:hAnsi="Times New Roman"/>
                <w:b/>
                <w:szCs w:val="24"/>
                <w:lang w:eastAsia="zh-CN"/>
              </w:rPr>
              <w:t>展示财务分析概述</w:t>
            </w:r>
            <w:r>
              <w:rPr>
                <w:rFonts w:hint="eastAsia" w:ascii="Times New Roman" w:hAnsi="Times New Roman"/>
                <w:b/>
                <w:szCs w:val="24"/>
              </w:rPr>
              <w:t>，</w:t>
            </w:r>
            <w:r>
              <w:rPr>
                <w:rFonts w:hint="eastAsia" w:ascii="Times New Roman" w:hAnsi="Times New Roman"/>
                <w:b/>
                <w:szCs w:val="24"/>
                <w:lang w:eastAsia="zh-CN"/>
              </w:rPr>
              <w:t>让学生更加仔细的阅读，从而</w:t>
            </w:r>
            <w:r>
              <w:rPr>
                <w:rFonts w:hint="eastAsia" w:ascii="Times New Roman" w:hAnsi="Times New Roman"/>
                <w:b/>
                <w:szCs w:val="24"/>
              </w:rPr>
              <w:t>激发学生的学习欲望。</w:t>
            </w:r>
          </w:p>
        </w:tc>
      </w:tr>
      <w:tr>
        <w:trPr>
          <w:trHeight w:val="1341" w:hRule="atLeast"/>
          <w:jc w:val="center"/>
        </w:trPr>
        <w:tc>
          <w:tcPr>
            <w:tcW w:w="1276" w:type="dxa"/>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0" w:right="0" w:hanging="8"/>
              <w:textAlignment w:val="auto"/>
              <w:rPr>
                <w:rFonts w:hint="default" w:ascii="Times New Roman" w:hAnsi="Times New Roman"/>
                <w:szCs w:val="24"/>
              </w:rPr>
            </w:pPr>
            <w:r>
              <w:rPr>
                <w:rFonts w:hint="eastAsia" w:ascii="微软雅黑" w:hAnsi="微软雅黑" w:eastAsia="微软雅黑"/>
                <w:b/>
                <w:sz w:val="24"/>
                <w:szCs w:val="24"/>
                <w:lang w:eastAsia="zh-CN"/>
              </w:rPr>
              <w:t>作业布置</w:t>
            </w:r>
            <w:r>
              <w:rPr>
                <w:rFonts w:hint="eastAsia" w:ascii="Times New Roman" w:hAnsi="Times New Roman"/>
                <w:b w:val="0"/>
                <w:bCs w:val="0"/>
                <w:szCs w:val="24"/>
              </w:rPr>
              <w:t>（</w:t>
            </w:r>
            <w:r>
              <w:rPr>
                <w:rFonts w:hint="eastAsia" w:ascii="Times New Roman" w:hAnsi="Times New Roman"/>
                <w:b w:val="0"/>
                <w:bCs w:val="0"/>
                <w:szCs w:val="24"/>
                <w:lang w:val="en-US" w:eastAsia="zh-CN"/>
              </w:rPr>
              <w:t>3</w:t>
            </w:r>
            <w:r>
              <w:rPr>
                <w:rFonts w:hint="eastAsia" w:ascii="Times New Roman" w:hAnsi="Times New Roman"/>
                <w:b w:val="0"/>
                <w:bCs w:val="0"/>
                <w:szCs w:val="24"/>
              </w:rPr>
              <w:t>min）</w:t>
            </w:r>
          </w:p>
        </w:tc>
        <w:tc>
          <w:tcPr>
            <w:tcW w:w="5807" w:type="dxa"/>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textAlignment w:val="auto"/>
              <w:rPr>
                <w:rFonts w:hint="eastAsia" w:ascii="宋体" w:hAnsi="宋体" w:eastAsia="宋体" w:cs="宋体"/>
                <w:b w:val="0"/>
                <w:bCs/>
                <w:color w:val="C00000"/>
                <w:kern w:val="2"/>
                <w:sz w:val="21"/>
                <w:szCs w:val="21"/>
                <w:lang w:val="en-US" w:eastAsia="zh-CN" w:bidi="ar"/>
              </w:rPr>
            </w:pPr>
            <w:r>
              <w:rPr>
                <w:rFonts w:hint="eastAsia" w:ascii="宋体" w:hAnsi="宋体" w:eastAsia="宋体" w:cs="宋体"/>
                <w:b/>
                <w:bCs w:val="0"/>
                <w:color w:val="C00000"/>
                <w:kern w:val="2"/>
                <w:sz w:val="21"/>
                <w:szCs w:val="21"/>
                <w:lang w:val="en-US" w:eastAsia="zh-CN" w:bidi="ar"/>
              </w:rPr>
              <w:t>【教师】</w:t>
            </w:r>
            <w:r>
              <w:rPr>
                <w:rFonts w:hint="eastAsia" w:ascii="宋体" w:hAnsi="宋体" w:eastAsia="宋体" w:cs="宋体"/>
                <w:b w:val="0"/>
                <w:bCs/>
                <w:color w:val="C00000"/>
                <w:kern w:val="2"/>
                <w:sz w:val="21"/>
                <w:szCs w:val="21"/>
                <w:lang w:val="en-US" w:eastAsia="zh-CN" w:bidi="ar"/>
              </w:rPr>
              <w:t>布置课后作业</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textAlignment w:val="auto"/>
              <w:rPr>
                <w:rFonts w:hint="eastAsia" w:hAnsi="宋体" w:eastAsia="宋体"/>
                <w:bCs/>
                <w:lang w:eastAsia="zh-CN"/>
              </w:rPr>
            </w:pPr>
            <w:r>
              <w:rPr>
                <w:rFonts w:hint="eastAsia" w:hAnsi="宋体"/>
                <w:bCs/>
                <w:lang w:val="en-US" w:eastAsia="zh-CN"/>
              </w:rPr>
              <w:t>简述财务分析的内容。</w:t>
            </w:r>
          </w:p>
        </w:tc>
        <w:tc>
          <w:tcPr>
            <w:tcW w:w="1366" w:type="dxa"/>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0" w:right="0"/>
              <w:jc w:val="left"/>
              <w:textAlignment w:val="auto"/>
              <w:rPr>
                <w:rFonts w:hint="eastAsia" w:ascii="Times New Roman" w:hAnsi="Times New Roman"/>
                <w:b/>
                <w:szCs w:val="24"/>
              </w:rPr>
            </w:pPr>
            <w:r>
              <w:rPr>
                <w:rFonts w:hint="eastAsia" w:ascii="Times New Roman" w:hAnsi="Times New Roman"/>
                <w:b w:val="0"/>
                <w:bCs/>
                <w:szCs w:val="24"/>
              </w:rPr>
              <w:t>通过课后练习，使学生巩固所学新知识</w:t>
            </w:r>
          </w:p>
        </w:tc>
      </w:tr>
      <w:tr>
        <w:trPr>
          <w:trHeight w:val="2671" w:hRule="atLeast"/>
          <w:jc w:val="center"/>
        </w:trPr>
        <w:tc>
          <w:tcPr>
            <w:tcW w:w="1276" w:type="dxa"/>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0" w:right="0"/>
              <w:textAlignment w:val="auto"/>
              <w:rPr>
                <w:rFonts w:hint="eastAsia" w:ascii="微软雅黑" w:hAnsi="微软雅黑" w:eastAsia="微软雅黑"/>
                <w:b/>
                <w:sz w:val="24"/>
                <w:szCs w:val="24"/>
                <w:lang w:eastAsia="zh-CN"/>
              </w:rPr>
            </w:pPr>
            <w:r>
              <w:rPr>
                <w:rFonts w:hint="eastAsia" w:ascii="微软雅黑" w:hAnsi="微软雅黑" w:eastAsia="微软雅黑"/>
                <w:b/>
                <w:sz w:val="24"/>
                <w:szCs w:val="24"/>
                <w:lang w:eastAsia="zh-CN"/>
              </w:rPr>
              <w:t>知识讲解</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0" w:right="0" w:hanging="8"/>
              <w:textAlignment w:val="auto"/>
              <w:rPr>
                <w:rFonts w:hint="default" w:ascii="Times New Roman" w:hAnsi="Times New Roman"/>
                <w:b/>
                <w:szCs w:val="24"/>
              </w:rPr>
            </w:pPr>
            <w:r>
              <w:rPr>
                <w:rFonts w:hint="default" w:ascii="Times New Roman" w:hAnsi="Times New Roman"/>
                <w:szCs w:val="24"/>
              </w:rPr>
              <w:t>（40</w:t>
            </w:r>
            <w:r>
              <w:rPr>
                <w:rFonts w:hint="eastAsia" w:ascii="Times New Roman" w:hAnsi="Times New Roman"/>
                <w:szCs w:val="24"/>
              </w:rPr>
              <w:t>min）</w:t>
            </w:r>
          </w:p>
        </w:tc>
        <w:tc>
          <w:tcPr>
            <w:tcW w:w="5807" w:type="dxa"/>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jc w:val="both"/>
              <w:textAlignment w:val="auto"/>
              <w:rPr>
                <w:rFonts w:hint="eastAsia" w:ascii="Times New Roman" w:hAnsi="Times New Roman" w:eastAsia="宋体" w:cs="Times New Roman"/>
                <w:b/>
                <w:bCs w:val="0"/>
                <w:color w:val="C00000"/>
                <w:kern w:val="2"/>
                <w:sz w:val="21"/>
                <w:szCs w:val="21"/>
              </w:rPr>
            </w:pPr>
            <w:r>
              <w:rPr>
                <w:rFonts w:hint="eastAsia" w:ascii="宋体" w:hAnsi="宋体" w:eastAsia="宋体" w:cs="宋体"/>
                <w:b/>
                <w:bCs w:val="0"/>
                <w:color w:val="C00000"/>
                <w:kern w:val="2"/>
                <w:sz w:val="21"/>
                <w:szCs w:val="21"/>
                <w:lang w:val="en-US" w:eastAsia="zh-CN" w:bidi="ar"/>
              </w:rPr>
              <w:t>【教师】</w:t>
            </w:r>
            <w:r>
              <w:rPr>
                <w:rFonts w:hint="eastAsia" w:ascii="宋体" w:hAnsi="宋体" w:eastAsia="宋体" w:cs="宋体"/>
                <w:b w:val="0"/>
                <w:bCs/>
                <w:color w:val="C00000"/>
                <w:kern w:val="2"/>
                <w:sz w:val="21"/>
                <w:szCs w:val="21"/>
                <w:lang w:val="en-US" w:eastAsia="zh-CN" w:bidi="ar"/>
              </w:rPr>
              <w:t>展示财务分析的方法</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bCs w:val="0"/>
                <w:color w:val="000000"/>
                <w:kern w:val="2"/>
                <w:sz w:val="21"/>
                <w:szCs w:val="21"/>
                <w:lang w:val="en-US" w:eastAsia="zh-CN" w:bidi="ar"/>
              </w:rPr>
              <w:t>一、比较分析法</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比较分析法又称对比分析法，是通过对比两期或连续数期财务报告中的相同指标，确定其增减变动的方向、数额和幅度，来说明企业财务状况或经营成果变动趋势的一种方法。</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用于比较的指标既可以是绝对数，也可以是相对数，比较分析的基本形式有：</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（1）本企业本期实际指标与计划或定额指标比较，以检查计划或定额的完成情况。</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（2）本企业本期实际指标与以前各期（上期、上年同期或历史最高水平等）同类指标比较，以考察企业经济活动的变动情况和变动趋势。</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（3）本企业实际指标与国内外同行业先进指标比较，以揭示企业与先进企业之间的差距，以赶超先进。</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比较分析法虽然不能揭示深层次的问题，但对于掌握企业基本概况和为进一步分析提供依据是十分必要的。在具体运用比较分析法时，用于对比的指标必须具有同质性，即指标间具有可比性，否则，对比结果毫无意义。</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bCs w:val="0"/>
                <w:color w:val="000000"/>
                <w:kern w:val="2"/>
                <w:sz w:val="21"/>
                <w:szCs w:val="21"/>
                <w:lang w:val="en-US" w:eastAsia="zh-CN" w:bidi="ar"/>
              </w:rPr>
              <w:t>二、比率分析法</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比率分析法是指利用财务报表中两项相关指标的比率揭示企业财务状况和经营成果的一种分析方法。比率分析法计算的比率指标主要有以下三类。</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bCs w:val="0"/>
                <w:color w:val="000000"/>
                <w:kern w:val="2"/>
                <w:sz w:val="21"/>
                <w:szCs w:val="21"/>
                <w:lang w:val="en-US" w:eastAsia="zh-CN" w:bidi="ar"/>
              </w:rPr>
            </w:pPr>
            <w:r>
              <w:rPr>
                <w:rFonts w:hint="eastAsia" w:ascii="宋体" w:hAnsi="宋体" w:eastAsia="宋体" w:cs="宋体"/>
                <w:b/>
                <w:bCs w:val="0"/>
                <w:color w:val="000000"/>
                <w:kern w:val="2"/>
                <w:sz w:val="21"/>
                <w:szCs w:val="21"/>
                <w:lang w:val="en-US" w:eastAsia="zh-CN" w:bidi="ar"/>
              </w:rPr>
              <w:t>（一）效率比率</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效率比率是反映经济活动中投入与产出、所费与所得的比率，以考核经营成果，评价经济效益，如成本利润率、销售利润率及资本利润率等指标。</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bCs w:val="0"/>
                <w:color w:val="000000"/>
                <w:kern w:val="2"/>
                <w:sz w:val="21"/>
                <w:szCs w:val="21"/>
                <w:lang w:val="en-US" w:eastAsia="zh-CN" w:bidi="ar"/>
              </w:rPr>
            </w:pPr>
            <w:r>
              <w:rPr>
                <w:rFonts w:hint="eastAsia" w:ascii="宋体" w:hAnsi="宋体" w:eastAsia="宋体" w:cs="宋体"/>
                <w:b/>
                <w:bCs w:val="0"/>
                <w:color w:val="000000"/>
                <w:kern w:val="2"/>
                <w:sz w:val="21"/>
                <w:szCs w:val="21"/>
                <w:lang w:val="en-US" w:eastAsia="zh-CN" w:bidi="ar"/>
              </w:rPr>
              <w:t>（二）结构比率</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结构比率是指某项经济指标中的某个组成部分与总体的比率，反映部分与总体的关系。利用结构比率可以考察总体中某部分形成与安排的合理性，以协调各项财务活动，另外，通过不同时期结构比率的比较，还可以揭示其变化趋势。</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bCs w:val="0"/>
                <w:color w:val="000000"/>
                <w:kern w:val="2"/>
                <w:sz w:val="21"/>
                <w:szCs w:val="21"/>
                <w:lang w:val="en-US" w:eastAsia="zh-CN" w:bidi="ar"/>
              </w:rPr>
              <w:t>（三）相关比率</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相关比率是将两个不同但又有一定关系的指标加以对比得出的比率，以反映有关经济活动的相互关系。相关比率主要包括：①反映偿债能力的比率，如资产负债率；②反映营运能力的比率，如应收账款周转率；③反映盈利能力的比率，如资本金利润率。</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比率分析法的优点是计算简便，计算结果容易判断，而且可以使某些指标在不同规模的企业之间进行对比，甚至也能在一定程度上超越行业间的差别进行对比。但采用这一方法时对比率指标的使用应该注意以下几点。</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1）对比项目的相关性。比率的分子和分母必须具有相关性。否则就不具有可比性；构成比率指标必须是部分与总体的关系；效率比指标的投入与产出必须有因果关系；相关比率指标的分子、分母也要有某种内在联系，否则比较就毫无意义。</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（2）对比口径的一致性。比率的分子和分母在计算时间、范围等方面保持口</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right="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径一致。</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（3）衡量标准的科学性。要选择科学合理的参照标准，以便对企业财务状况做出恰当合理地评价。</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bCs w:val="0"/>
                <w:color w:val="000000"/>
                <w:kern w:val="2"/>
                <w:sz w:val="21"/>
                <w:szCs w:val="21"/>
                <w:lang w:val="en-US" w:eastAsia="zh-CN" w:bidi="ar"/>
              </w:rPr>
            </w:pPr>
            <w:r>
              <w:rPr>
                <w:rFonts w:hint="eastAsia" w:ascii="宋体" w:hAnsi="宋体" w:eastAsia="宋体" w:cs="宋体"/>
                <w:b/>
                <w:bCs w:val="0"/>
                <w:color w:val="000000"/>
                <w:kern w:val="2"/>
                <w:sz w:val="21"/>
                <w:szCs w:val="21"/>
                <w:lang w:val="en-US" w:eastAsia="zh-CN" w:bidi="ar"/>
              </w:rPr>
              <w:t>三、因素分析法</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因素分析法又称因素替代法、连环替代法，它是用来确定综合指标的各因素对综合指标变动影响程度的一种分析方法。因素分析法的分析程序如下。</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（1）分解某项综合指标的各项构成因素。</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（2）确定各因素的排列顺序。</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（3）按排定的顺序和各项因素的基数进行计算。</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（4）顺序将前面各项因素的基数替换成实际数，计算出替换后的结果，与前一次替换后的计算结果进行比较，计算出影响程度，直至替换完毕。</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（5）计算出各因素影响程度之和，与该项综合性指标的差异总额进行对比，核对是否相符。</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如某综合指标 N 由 a、b、c 三个因素构成。其实际指标与基数指标以及有关因素的关系由下式构成：</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drawing>
                <wp:inline distT="0" distB="0" distL="114300" distR="114300">
                  <wp:extent cx="2826385" cy="941705"/>
                  <wp:effectExtent l="0" t="0" r="18415" b="23495"/>
                  <wp:docPr id="1"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1"/>
                          <pic:cNvPicPr>
                            <a:picLocks noChangeAspect="1"/>
                          </pic:cNvPicPr>
                        </pic:nvPicPr>
                        <pic:blipFill>
                          <a:blip r:embed="rId4"/>
                          <a:stretch>
                            <a:fillRect/>
                          </a:stretch>
                        </pic:blipFill>
                        <pic:spPr>
                          <a:xfrm>
                            <a:off x="0" y="0"/>
                            <a:ext cx="2826385" cy="941705"/>
                          </a:xfrm>
                          <a:prstGeom prst="rect">
                            <a:avLst/>
                          </a:prstGeom>
                          <a:noFill/>
                          <a:ln>
                            <a:noFill/>
                          </a:ln>
                        </pic:spPr>
                      </pic:pic>
                    </a:graphicData>
                  </a:graphic>
                </wp:inline>
              </w:drawing>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三因素对综合指标的合计影响值应为：ΔN=Δa+Δb+Δc因素分析法既可以全面分析各因素对某一经济指标的影响，又可以单独分析某个因素对该经济指标的影响，在财务分析中应用颇为广泛，但应用因素分析法要注意以下几个问题。</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（1）因素分解的关联性。即构成经济指标的各因素确实是形成该项指标差异的内在构成原因，它们之间存在着客观的因果关系。</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2）因素替代的顺序性。因素替代时，必须按照各因素的依存关系，排列成一定顺序依次替代，各因素顺序不能随意颠倒，否则，各因素的影响值会得出不同的计算结果。在实际工作中，往往是先替代数量因素，后替代质量因素；先替代实物因素、劳动因素，后替代价值量因素；先替代原始的、主要的因素，后替代派生的、次要的因素。</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3）顺序替代的连环性。计算各因素变动的影响数值时，都是在前一次计算的基础上进行并采用连环比较的方法确定因素变化的影响结果。只有保持这种连环性，才能使各因素影响之和等于分析指标变动的总差异。</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（4）计算结果的假定性。由于因素分析法计算各因素变动的影响值时会因替代顺序的不同而有差别，因而，计算结果具有一定的假定性和近似性。</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bCs w:val="0"/>
                <w:color w:val="000000"/>
                <w:kern w:val="2"/>
                <w:sz w:val="21"/>
                <w:szCs w:val="21"/>
                <w:lang w:val="en-US" w:eastAsia="zh-CN" w:bidi="ar"/>
              </w:rPr>
            </w:pPr>
            <w:r>
              <w:rPr>
                <w:rFonts w:hint="eastAsia" w:ascii="宋体" w:hAnsi="宋体" w:eastAsia="宋体" w:cs="宋体"/>
                <w:b/>
                <w:bCs w:val="0"/>
                <w:color w:val="000000"/>
                <w:kern w:val="2"/>
                <w:sz w:val="21"/>
                <w:szCs w:val="21"/>
                <w:lang w:val="en-US" w:eastAsia="zh-CN" w:bidi="ar"/>
              </w:rPr>
              <w:t>四、趋势分析法</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趋势分析法是根据企业连续数期的财务报表，比较各期的有关项目金额，以揭示当期财务状况和经营成果增减变化的性质和趋势的一种分析法。</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采用趋势分析法通常要编制比较财务报表，即将连续数期的同一财务报表排列在一起进行比较。具体做法有以下两种。</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（1）编制绝对数比较财务报表。这种报表是按照绝对数编制的，即将财务报表上的“金额栏”划分成若干期并填列金额，进行比较分析。</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（2）编制相对数财务报表。这种财务报表是按相对数编制的，即将财务报表上的某一关键项目的金额当作 100%，计算出其他项目对关键项目的百分比，以显示各项目的相对地位。最后把连续若干期按相对数编制的财务报表合并为一张财务报表，以反映各项目结构上的变化。</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编制比较财务报表进行趋势分析时应注意以下问题。</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1）掌握分析的重点。财务报表的项目较多，其重要程度也一样。为了揭示企业财务状况和经营成果的变化趋势和提高财务分析工作的效率，分析人员应对财务报表的重要项目进行重点分析，避免平均，使分析工作流于形式，失去意义。</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（2）分析时既可以采用绝对数进行比较，也可以采用相对数进行比较。</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（3）分析时既可以采用定基比较的方法，也可以采用连环比较的方法。这两种方法在揭示事物变化趋势方面没有本质的区别。</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jc w:val="both"/>
              <w:textAlignment w:val="auto"/>
              <w:rPr>
                <w:rFonts w:hint="default" w:ascii="Times New Roman" w:hAnsi="Times New Roman"/>
                <w:szCs w:val="24"/>
              </w:rPr>
            </w:pPr>
            <w:r>
              <w:rPr>
                <w:rFonts w:hint="eastAsia" w:ascii="宋体" w:hAnsi="宋体" w:eastAsia="宋体" w:cs="宋体"/>
                <w:b/>
                <w:bCs/>
                <w:color w:val="538135"/>
                <w:kern w:val="2"/>
                <w:sz w:val="21"/>
                <w:szCs w:val="21"/>
                <w:lang w:val="en-US" w:eastAsia="zh-CN" w:bidi="ar"/>
              </w:rPr>
              <w:t>【学生】</w:t>
            </w:r>
            <w:r>
              <w:rPr>
                <w:rFonts w:hint="eastAsia" w:ascii="宋体" w:hAnsi="宋体" w:eastAsia="宋体" w:cs="宋体"/>
                <w:color w:val="538135"/>
                <w:kern w:val="2"/>
                <w:sz w:val="21"/>
                <w:szCs w:val="21"/>
                <w:lang w:val="en-US" w:eastAsia="zh-CN" w:bidi="ar"/>
              </w:rPr>
              <w:t>思考、讨论。</w:t>
            </w:r>
          </w:p>
        </w:tc>
        <w:tc>
          <w:tcPr>
            <w:tcW w:w="1366" w:type="dxa"/>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0" w:right="0"/>
              <w:jc w:val="left"/>
              <w:textAlignment w:val="auto"/>
              <w:rPr>
                <w:rFonts w:hint="default" w:ascii="Times New Roman" w:hAnsi="Times New Roman"/>
                <w:b/>
                <w:szCs w:val="24"/>
              </w:rPr>
            </w:pPr>
            <w:r>
              <w:rPr>
                <w:rFonts w:hint="eastAsia" w:ascii="Times New Roman" w:hAnsi="Times New Roman"/>
                <w:b/>
                <w:szCs w:val="24"/>
              </w:rPr>
              <w:t>通过教师讲解，了解财务分析的方法的基本理论知识。</w:t>
            </w:r>
          </w:p>
        </w:tc>
      </w:tr>
      <w:tr>
        <w:trPr>
          <w:trHeight w:val="90" w:hRule="atLeast"/>
          <w:jc w:val="center"/>
        </w:trPr>
        <w:tc>
          <w:tcPr>
            <w:tcW w:w="1276" w:type="dxa"/>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ind w:left="0" w:right="0"/>
              <w:jc w:val="both"/>
              <w:textAlignment w:val="auto"/>
              <w:rPr>
                <w:rFonts w:hint="eastAsia" w:ascii="微软雅黑" w:hAnsi="微软雅黑" w:eastAsia="微软雅黑" w:cs="Times New Roman"/>
                <w:b/>
                <w:bCs w:val="0"/>
                <w:kern w:val="2"/>
                <w:sz w:val="24"/>
                <w:szCs w:val="24"/>
              </w:rPr>
            </w:pPr>
            <w:r>
              <w:rPr>
                <w:rFonts w:hint="eastAsia" w:ascii="微软雅黑" w:hAnsi="微软雅黑" w:eastAsia="微软雅黑" w:cs="微软雅黑"/>
                <w:b/>
                <w:bCs w:val="0"/>
                <w:kern w:val="2"/>
                <w:sz w:val="24"/>
                <w:szCs w:val="24"/>
                <w:lang w:val="en-US" w:eastAsia="zh-CN" w:bidi="ar"/>
              </w:rPr>
              <w:t>课堂小结</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ind w:left="0" w:leftChars="0" w:right="0" w:rightChars="0"/>
              <w:jc w:val="both"/>
              <w:textAlignment w:val="auto"/>
              <w:rPr>
                <w:rFonts w:hint="eastAsia" w:ascii="Times New Roman" w:hAnsi="Times New Roman" w:eastAsia="宋体" w:cs="Times New Roman"/>
                <w:kern w:val="2"/>
                <w:sz w:val="21"/>
                <w:szCs w:val="21"/>
                <w:lang w:val="en-US" w:eastAsia="zh-CN" w:bidi="ar-SA"/>
              </w:rPr>
            </w:pPr>
            <w:r>
              <w:rPr>
                <w:rFonts w:hint="eastAsia" w:ascii="宋体" w:hAnsi="宋体" w:eastAsia="宋体" w:cs="宋体"/>
                <w:kern w:val="2"/>
                <w:sz w:val="21"/>
                <w:szCs w:val="21"/>
                <w:lang w:val="en-US" w:eastAsia="zh-CN" w:bidi="ar"/>
              </w:rPr>
              <w:t>（</w:t>
            </w:r>
            <w:r>
              <w:rPr>
                <w:rFonts w:hint="eastAsia" w:ascii="Times New Roman" w:hAnsi="Times New Roman" w:cs="Times New Roman"/>
                <w:kern w:val="2"/>
                <w:sz w:val="21"/>
                <w:szCs w:val="21"/>
                <w:lang w:val="en-US" w:eastAsia="zh-CN" w:bidi="ar"/>
              </w:rPr>
              <w:t>3</w:t>
            </w:r>
            <w:r>
              <w:rPr>
                <w:rFonts w:hint="default" w:ascii="Times New Roman" w:hAnsi="Times New Roman" w:eastAsia="宋体" w:cs="Times New Roman"/>
                <w:kern w:val="2"/>
                <w:sz w:val="21"/>
                <w:szCs w:val="21"/>
                <w:lang w:val="en-US" w:eastAsia="zh-CN" w:bidi="ar"/>
              </w:rPr>
              <w:t>min</w:t>
            </w:r>
            <w:r>
              <w:rPr>
                <w:rFonts w:hint="eastAsia" w:ascii="宋体" w:hAnsi="宋体" w:eastAsia="宋体" w:cs="宋体"/>
                <w:kern w:val="2"/>
                <w:sz w:val="21"/>
                <w:szCs w:val="21"/>
                <w:lang w:val="en-US" w:eastAsia="zh-CN" w:bidi="ar"/>
              </w:rPr>
              <w:t>）</w:t>
            </w:r>
          </w:p>
        </w:tc>
        <w:tc>
          <w:tcPr>
            <w:tcW w:w="5807" w:type="dxa"/>
            <w:tcBorders>
              <w:top w:val="single" w:color="auto" w:sz="4" w:space="0"/>
              <w:left w:val="single" w:color="auto" w:sz="4" w:space="0"/>
              <w:bottom w:val="double" w:color="auto" w:sz="4" w:space="0"/>
              <w:right w:val="single" w:color="auto" w:sz="4" w:space="0"/>
            </w:tcBorders>
            <w:vAlign w:val="center"/>
          </w:tcPr>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jc w:val="both"/>
              <w:textAlignment w:val="auto"/>
              <w:rPr>
                <w:rFonts w:hint="default" w:ascii="Times New Roman" w:hAnsi="Times New Roman" w:eastAsia="宋体" w:cs="Times New Roman"/>
                <w:kern w:val="2"/>
                <w:sz w:val="21"/>
                <w:szCs w:val="21"/>
              </w:rPr>
            </w:pPr>
            <w:r>
              <w:rPr>
                <w:rFonts w:hint="eastAsia" w:ascii="宋体" w:hAnsi="宋体" w:eastAsia="宋体" w:cs="宋体"/>
                <w:kern w:val="2"/>
                <w:sz w:val="21"/>
                <w:szCs w:val="21"/>
                <w:lang w:val="en-US" w:eastAsia="zh-CN" w:bidi="ar"/>
              </w:rPr>
              <w:t>【</w:t>
            </w:r>
            <w:r>
              <w:rPr>
                <w:rFonts w:hint="eastAsia" w:ascii="宋体" w:hAnsi="宋体" w:eastAsia="宋体" w:cs="宋体"/>
                <w:b/>
                <w:bCs w:val="0"/>
                <w:kern w:val="2"/>
                <w:sz w:val="21"/>
                <w:szCs w:val="21"/>
                <w:lang w:val="en-US" w:eastAsia="zh-CN" w:bidi="ar"/>
              </w:rPr>
              <w:t>教师</w:t>
            </w:r>
            <w:r>
              <w:rPr>
                <w:rFonts w:hint="eastAsia" w:ascii="宋体" w:hAnsi="宋体" w:eastAsia="宋体" w:cs="宋体"/>
                <w:kern w:val="2"/>
                <w:sz w:val="21"/>
                <w:szCs w:val="21"/>
                <w:lang w:val="en-US" w:eastAsia="zh-CN" w:bidi="ar"/>
              </w:rPr>
              <w:t>】</w:t>
            </w:r>
            <w:r>
              <w:rPr>
                <w:rFonts w:hint="eastAsia" w:ascii="宋体" w:hAnsi="宋体" w:eastAsia="宋体" w:cs="宋体"/>
                <w:b/>
                <w:bCs w:val="0"/>
                <w:color w:val="CC0066"/>
                <w:kern w:val="2"/>
                <w:sz w:val="21"/>
                <w:szCs w:val="21"/>
                <w:lang w:val="en-US" w:eastAsia="zh-CN" w:bidi="ar"/>
              </w:rPr>
              <w:t>回顾和总结本节课的知识点。</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leftChars="0" w:right="0" w:rightChars="0" w:firstLine="420" w:firstLineChars="200"/>
              <w:jc w:val="both"/>
              <w:textAlignment w:val="auto"/>
              <w:rPr>
                <w:rFonts w:hint="eastAsia" w:ascii="Times New Roman" w:hAnsi="Times New Roman" w:eastAsia="宋体" w:cs="Times New Roman"/>
                <w:b/>
                <w:bCs w:val="0"/>
                <w:kern w:val="2"/>
                <w:sz w:val="21"/>
                <w:szCs w:val="21"/>
                <w:lang w:val="en-US" w:eastAsia="zh-CN" w:bidi="ar-SA"/>
              </w:rPr>
            </w:pPr>
            <w:r>
              <w:rPr>
                <w:rFonts w:hint="eastAsia" w:ascii="宋体" w:hAnsi="宋体" w:eastAsia="宋体" w:cs="宋体"/>
                <w:b/>
                <w:bCs w:val="0"/>
                <w:kern w:val="2"/>
                <w:sz w:val="21"/>
                <w:szCs w:val="21"/>
                <w:lang w:val="en-US" w:eastAsia="zh-CN" w:bidi="ar"/>
              </w:rPr>
              <w:t>这节课我们一起学习了</w:t>
            </w:r>
            <w:r>
              <w:rPr>
                <w:rFonts w:hint="eastAsia" w:ascii="宋体" w:hAnsi="宋体" w:eastAsia="宋体" w:cs="宋体"/>
                <w:b/>
                <w:bCs w:val="0"/>
                <w:kern w:val="0"/>
                <w:sz w:val="21"/>
                <w:szCs w:val="21"/>
                <w:lang w:val="en-US" w:eastAsia="zh-CN" w:bidi="ar"/>
              </w:rPr>
              <w:t>财务分析的方法</w:t>
            </w:r>
            <w:r>
              <w:rPr>
                <w:rFonts w:hint="eastAsia" w:ascii="宋体" w:hAnsi="宋体" w:cs="宋体"/>
                <w:b/>
                <w:bCs w:val="0"/>
                <w:kern w:val="0"/>
                <w:sz w:val="21"/>
                <w:szCs w:val="21"/>
                <w:lang w:val="en-US" w:eastAsia="zh-CN" w:bidi="ar"/>
              </w:rPr>
              <w:t>，让学生知道分析时既可以采用绝对数进行比较，也可以采用相对数进行比较</w:t>
            </w:r>
            <w:r>
              <w:rPr>
                <w:rFonts w:hint="eastAsia" w:ascii="宋体" w:hAnsi="宋体" w:eastAsia="宋体" w:cs="宋体"/>
                <w:b/>
                <w:bCs w:val="0"/>
                <w:kern w:val="2"/>
                <w:sz w:val="21"/>
                <w:szCs w:val="21"/>
                <w:lang w:val="en-US" w:eastAsia="zh-CN" w:bidi="ar"/>
              </w:rPr>
              <w:t>。</w:t>
            </w:r>
          </w:p>
        </w:tc>
        <w:tc>
          <w:tcPr>
            <w:tcW w:w="1366" w:type="dxa"/>
            <w:tcBorders>
              <w:top w:val="single" w:color="auto" w:sz="4" w:space="0"/>
              <w:left w:val="single" w:color="auto" w:sz="4" w:space="0"/>
              <w:bottom w:val="double" w:color="auto" w:sz="4" w:space="0"/>
              <w:right w:val="single" w:color="auto" w:sz="4" w:space="0"/>
            </w:tcBorders>
            <w:vAlign w:val="center"/>
          </w:tcPr>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380" w:lineRule="exact"/>
              <w:ind w:left="0" w:leftChars="0" w:right="0" w:rightChars="0"/>
              <w:jc w:val="both"/>
              <w:textAlignment w:val="auto"/>
              <w:rPr>
                <w:rFonts w:hint="eastAsia" w:ascii="Times New Roman" w:hAnsi="Times New Roman" w:eastAsia="宋体" w:cs="Times New Roman"/>
                <w:kern w:val="2"/>
                <w:sz w:val="21"/>
                <w:szCs w:val="21"/>
                <w:lang w:val="en-US" w:eastAsia="zh-CN" w:bidi="ar-SA"/>
              </w:rPr>
            </w:pPr>
            <w:r>
              <w:rPr>
                <w:rFonts w:hint="eastAsia" w:ascii="宋体" w:hAnsi="宋体" w:eastAsia="宋体" w:cs="宋体"/>
                <w:kern w:val="2"/>
                <w:sz w:val="21"/>
                <w:szCs w:val="21"/>
                <w:lang w:val="en-US" w:eastAsia="zh-CN" w:bidi="ar"/>
              </w:rPr>
              <w:t>通过对所学知识的回顾，培养学生的归纳总结能力</w:t>
            </w:r>
          </w:p>
        </w:tc>
      </w:tr>
      <w:tr>
        <w:trPr>
          <w:trHeight w:val="1531" w:hRule="atLeast"/>
          <w:jc w:val="center"/>
        </w:trPr>
        <w:tc>
          <w:tcPr>
            <w:tcW w:w="1276" w:type="dxa"/>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8" w:leftChars="0" w:right="0" w:rightChars="0" w:hanging="8" w:firstLineChars="0"/>
              <w:jc w:val="both"/>
              <w:textAlignment w:val="auto"/>
              <w:rPr>
                <w:rFonts w:hint="eastAsia" w:ascii="Times New Roman" w:hAnsi="Times New Roman" w:eastAsia="宋体" w:cs="Times New Roman"/>
                <w:kern w:val="2"/>
                <w:sz w:val="21"/>
                <w:szCs w:val="21"/>
                <w:lang w:val="en-US" w:eastAsia="zh-CN" w:bidi="ar-SA"/>
              </w:rPr>
            </w:pPr>
            <w:r>
              <w:rPr>
                <w:rFonts w:hint="eastAsia" w:ascii="微软雅黑" w:hAnsi="微软雅黑" w:eastAsia="微软雅黑" w:cs="微软雅黑"/>
                <w:b/>
                <w:bCs w:val="0"/>
                <w:kern w:val="2"/>
                <w:sz w:val="24"/>
                <w:szCs w:val="24"/>
                <w:lang w:val="en-US" w:eastAsia="zh-CN" w:bidi="ar"/>
              </w:rPr>
              <w:t>作业布置</w:t>
            </w:r>
            <w:r>
              <w:rPr>
                <w:rFonts w:hint="eastAsia" w:ascii="宋体" w:hAnsi="宋体" w:eastAsia="宋体" w:cs="宋体"/>
                <w:b w:val="0"/>
                <w:bCs w:val="0"/>
                <w:kern w:val="2"/>
                <w:sz w:val="21"/>
                <w:szCs w:val="21"/>
                <w:lang w:val="en-US" w:eastAsia="zh-CN" w:bidi="ar"/>
              </w:rPr>
              <w:t>（</w:t>
            </w:r>
            <w:r>
              <w:rPr>
                <w:rFonts w:hint="eastAsia" w:ascii="Times New Roman" w:hAnsi="Times New Roman" w:cs="Times New Roman"/>
                <w:b w:val="0"/>
                <w:bCs w:val="0"/>
                <w:kern w:val="2"/>
                <w:sz w:val="21"/>
                <w:szCs w:val="21"/>
                <w:lang w:val="en-US" w:eastAsia="zh-CN" w:bidi="ar"/>
              </w:rPr>
              <w:t>2</w:t>
            </w:r>
            <w:r>
              <w:rPr>
                <w:rFonts w:hint="default" w:ascii="Times New Roman" w:hAnsi="Times New Roman" w:eastAsia="宋体" w:cs="Times New Roman"/>
                <w:b w:val="0"/>
                <w:bCs w:val="0"/>
                <w:kern w:val="2"/>
                <w:sz w:val="21"/>
                <w:szCs w:val="21"/>
                <w:lang w:val="en-US" w:eastAsia="zh-CN" w:bidi="ar"/>
              </w:rPr>
              <w:t>min</w:t>
            </w:r>
            <w:r>
              <w:rPr>
                <w:rFonts w:hint="eastAsia" w:ascii="宋体" w:hAnsi="宋体" w:eastAsia="宋体" w:cs="宋体"/>
                <w:b w:val="0"/>
                <w:bCs w:val="0"/>
                <w:kern w:val="2"/>
                <w:sz w:val="21"/>
                <w:szCs w:val="21"/>
                <w:lang w:val="en-US" w:eastAsia="zh-CN" w:bidi="ar"/>
              </w:rPr>
              <w:t>）</w:t>
            </w:r>
          </w:p>
        </w:tc>
        <w:tc>
          <w:tcPr>
            <w:tcW w:w="5807" w:type="dxa"/>
            <w:tcBorders>
              <w:top w:val="single" w:color="auto" w:sz="4" w:space="0"/>
              <w:left w:val="single" w:color="auto" w:sz="4" w:space="0"/>
              <w:bottom w:val="double" w:color="auto" w:sz="4" w:space="0"/>
              <w:right w:val="single" w:color="auto" w:sz="4" w:space="0"/>
            </w:tcBorders>
            <w:vAlign w:val="center"/>
          </w:tcPr>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jc w:val="both"/>
              <w:textAlignment w:val="auto"/>
              <w:rPr>
                <w:rFonts w:hint="eastAsia" w:ascii="宋体" w:hAnsi="宋体" w:eastAsia="宋体" w:cs="宋体"/>
                <w:b w:val="0"/>
                <w:bCs/>
                <w:color w:val="C00000"/>
                <w:kern w:val="2"/>
                <w:sz w:val="21"/>
                <w:szCs w:val="21"/>
              </w:rPr>
            </w:pPr>
            <w:r>
              <w:rPr>
                <w:rFonts w:hint="eastAsia" w:ascii="宋体" w:hAnsi="宋体" w:eastAsia="宋体" w:cs="宋体"/>
                <w:b/>
                <w:bCs w:val="0"/>
                <w:color w:val="C00000"/>
                <w:kern w:val="2"/>
                <w:sz w:val="21"/>
                <w:szCs w:val="21"/>
                <w:lang w:val="en-US" w:eastAsia="zh-CN" w:bidi="ar"/>
              </w:rPr>
              <w:t>【教师】</w:t>
            </w:r>
            <w:r>
              <w:rPr>
                <w:rFonts w:hint="eastAsia" w:ascii="宋体" w:hAnsi="宋体" w:eastAsia="宋体" w:cs="宋体"/>
                <w:b w:val="0"/>
                <w:bCs/>
                <w:color w:val="C00000"/>
                <w:kern w:val="2"/>
                <w:sz w:val="21"/>
                <w:szCs w:val="21"/>
                <w:lang w:val="en-US" w:eastAsia="zh-CN" w:bidi="ar"/>
              </w:rPr>
              <w:t>布置课后作业</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leftChars="0" w:right="0" w:rightChars="0" w:firstLine="420" w:firstLineChars="200"/>
              <w:jc w:val="both"/>
              <w:textAlignment w:val="auto"/>
              <w:rPr>
                <w:rFonts w:hint="eastAsia" w:ascii="Calibri" w:hAnsi="宋体" w:eastAsia="宋体" w:cs="Times New Roman"/>
                <w:bCs/>
                <w:kern w:val="2"/>
                <w:sz w:val="21"/>
                <w:szCs w:val="21"/>
                <w:lang w:val="en-US" w:eastAsia="zh-CN" w:bidi="ar-SA"/>
              </w:rPr>
            </w:pPr>
            <w:r>
              <w:rPr>
                <w:rFonts w:hint="eastAsia" w:ascii="宋体" w:hAnsi="宋体" w:cs="宋体"/>
                <w:bCs/>
                <w:kern w:val="2"/>
                <w:sz w:val="21"/>
                <w:szCs w:val="21"/>
                <w:lang w:val="en-US" w:eastAsia="zh-CN" w:bidi="ar"/>
              </w:rPr>
              <w:t>简述趋势分析法。</w:t>
            </w:r>
          </w:p>
        </w:tc>
        <w:tc>
          <w:tcPr>
            <w:tcW w:w="1366" w:type="dxa"/>
            <w:tcBorders>
              <w:top w:val="single" w:color="auto" w:sz="4" w:space="0"/>
              <w:left w:val="single" w:color="auto" w:sz="4" w:space="0"/>
              <w:bottom w:val="double" w:color="auto" w:sz="4" w:space="0"/>
              <w:right w:val="single" w:color="auto" w:sz="4" w:space="0"/>
            </w:tcBorders>
            <w:vAlign w:val="center"/>
          </w:tcPr>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0" w:leftChars="0" w:right="0" w:rightChars="0"/>
              <w:jc w:val="left"/>
              <w:textAlignment w:val="auto"/>
              <w:rPr>
                <w:rFonts w:hint="eastAsia" w:ascii="Times New Roman" w:hAnsi="Times New Roman" w:eastAsia="宋体" w:cs="Times New Roman"/>
                <w:b/>
                <w:bCs w:val="0"/>
                <w:kern w:val="2"/>
                <w:sz w:val="21"/>
                <w:szCs w:val="21"/>
                <w:lang w:val="en-US" w:eastAsia="zh-CN" w:bidi="ar-SA"/>
              </w:rPr>
            </w:pPr>
            <w:r>
              <w:rPr>
                <w:rFonts w:hint="eastAsia" w:ascii="宋体" w:hAnsi="宋体" w:eastAsia="宋体" w:cs="宋体"/>
                <w:b w:val="0"/>
                <w:bCs/>
                <w:kern w:val="2"/>
                <w:sz w:val="21"/>
                <w:szCs w:val="21"/>
                <w:lang w:val="en-US" w:eastAsia="zh-CN" w:bidi="ar"/>
              </w:rPr>
              <w:t>通过课后练习，使学生巩固所学新知识</w:t>
            </w:r>
          </w:p>
        </w:tc>
      </w:tr>
      <w:tr>
        <w:trPr>
          <w:trHeight w:val="3251" w:hRule="atLeast"/>
          <w:jc w:val="center"/>
        </w:trPr>
        <w:tc>
          <w:tcPr>
            <w:tcW w:w="1276" w:type="dxa"/>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0" w:right="0"/>
              <w:textAlignment w:val="auto"/>
              <w:rPr>
                <w:rFonts w:hint="eastAsia" w:ascii="微软雅黑" w:hAnsi="微软雅黑" w:eastAsia="微软雅黑"/>
                <w:b/>
                <w:sz w:val="24"/>
                <w:szCs w:val="24"/>
                <w:lang w:eastAsia="zh-CN"/>
              </w:rPr>
            </w:pPr>
            <w:r>
              <w:rPr>
                <w:rFonts w:hint="eastAsia" w:ascii="微软雅黑" w:hAnsi="微软雅黑" w:eastAsia="微软雅黑"/>
                <w:b/>
                <w:sz w:val="24"/>
                <w:szCs w:val="24"/>
                <w:lang w:eastAsia="zh-CN"/>
              </w:rPr>
              <w:t>知识讲解</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0" w:right="0" w:hanging="8"/>
              <w:textAlignment w:val="auto"/>
              <w:rPr>
                <w:rFonts w:hint="default" w:ascii="Times New Roman" w:hAnsi="Times New Roman"/>
                <w:b/>
                <w:szCs w:val="24"/>
              </w:rPr>
            </w:pPr>
            <w:r>
              <w:rPr>
                <w:rFonts w:hint="default" w:ascii="Times New Roman" w:hAnsi="Times New Roman"/>
                <w:szCs w:val="24"/>
              </w:rPr>
              <w:t>（40</w:t>
            </w:r>
            <w:r>
              <w:rPr>
                <w:rFonts w:hint="eastAsia" w:ascii="Times New Roman" w:hAnsi="Times New Roman"/>
                <w:szCs w:val="24"/>
              </w:rPr>
              <w:t>min）</w:t>
            </w:r>
          </w:p>
        </w:tc>
        <w:tc>
          <w:tcPr>
            <w:tcW w:w="5807" w:type="dxa"/>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jc w:val="both"/>
              <w:textAlignment w:val="auto"/>
              <w:rPr>
                <w:rFonts w:hint="default" w:ascii="Times New Roman" w:hAnsi="Times New Roman" w:eastAsia="宋体" w:cs="Times New Roman"/>
                <w:b/>
                <w:bCs w:val="0"/>
                <w:color w:val="C00000"/>
                <w:kern w:val="2"/>
                <w:sz w:val="21"/>
                <w:szCs w:val="21"/>
                <w:lang w:val="en-US"/>
              </w:rPr>
            </w:pPr>
            <w:r>
              <w:rPr>
                <w:rFonts w:hint="eastAsia" w:ascii="宋体" w:hAnsi="宋体" w:eastAsia="宋体" w:cs="宋体"/>
                <w:b/>
                <w:bCs w:val="0"/>
                <w:color w:val="C00000"/>
                <w:kern w:val="2"/>
                <w:sz w:val="21"/>
                <w:szCs w:val="21"/>
                <w:lang w:val="en-US" w:eastAsia="zh-CN" w:bidi="ar"/>
              </w:rPr>
              <w:t>【教师】</w:t>
            </w:r>
            <w:r>
              <w:rPr>
                <w:rFonts w:hint="eastAsia" w:ascii="宋体" w:hAnsi="宋体" w:eastAsia="宋体" w:cs="宋体"/>
                <w:b w:val="0"/>
                <w:bCs/>
                <w:color w:val="C00000"/>
                <w:kern w:val="2"/>
                <w:sz w:val="21"/>
                <w:szCs w:val="21"/>
                <w:lang w:val="en-US" w:eastAsia="zh-CN" w:bidi="ar"/>
              </w:rPr>
              <w:t>展示偿债能力分析</w:t>
            </w:r>
            <w:r>
              <w:rPr>
                <w:rFonts w:hint="eastAsia" w:ascii="宋体" w:hAnsi="宋体" w:cs="宋体"/>
                <w:b w:val="0"/>
                <w:bCs/>
                <w:color w:val="C00000"/>
                <w:kern w:val="2"/>
                <w:sz w:val="21"/>
                <w:szCs w:val="21"/>
                <w:lang w:val="en-US" w:eastAsia="zh-CN" w:bidi="ar"/>
              </w:rPr>
              <w:t>和营运能力分析</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bCs w:val="0"/>
                <w:color w:val="000000"/>
                <w:kern w:val="2"/>
                <w:sz w:val="21"/>
                <w:szCs w:val="21"/>
                <w:lang w:val="en-US" w:eastAsia="zh-CN" w:bidi="ar"/>
              </w:rPr>
              <w:t>偿债能力分析</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偿债能力是指企业用其资产偿还长期债务与短期债务的能力，是反映企业财务状况和经营能力的重要标志。企业有无支付现金的能力和偿还债务能力，是企业能否健康生存和发展的关键。偿债能力是企业偿还到期债务的承受能力或保证程度，包括偿还短期债务和长期债务的能力。</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bCs w:val="0"/>
                <w:color w:val="000000"/>
                <w:kern w:val="2"/>
                <w:sz w:val="21"/>
                <w:szCs w:val="21"/>
                <w:lang w:val="en-US" w:eastAsia="zh-CN" w:bidi="ar"/>
              </w:rPr>
              <w:t>一、短期偿债能力分析</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短期偿债能力是指企业流动资产对流动负债及时足额偿还的保证程度，是衡量企业当前财务能力，特别是流动资产变现能力的重要指标。企业短期偿债能力的衡量指标主要有流动比率、速动比率和现金比率。</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bCs w:val="0"/>
                <w:color w:val="000000"/>
                <w:kern w:val="2"/>
                <w:sz w:val="21"/>
                <w:szCs w:val="21"/>
                <w:lang w:val="en-US" w:eastAsia="zh-CN" w:bidi="ar"/>
              </w:rPr>
            </w:pPr>
            <w:r>
              <w:rPr>
                <w:rFonts w:hint="eastAsia" w:ascii="宋体" w:hAnsi="宋体" w:eastAsia="宋体" w:cs="宋体"/>
                <w:b/>
                <w:bCs w:val="0"/>
                <w:color w:val="000000"/>
                <w:kern w:val="2"/>
                <w:sz w:val="21"/>
                <w:szCs w:val="21"/>
                <w:lang w:val="en-US" w:eastAsia="zh-CN" w:bidi="ar"/>
              </w:rPr>
              <w:t>（一）流动比率</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流动比率是指企业流动资产与流动负债的比率。它表示企业每一元流动负债有多少流动资产作为偿还的保证，该指标评价企业用流动资产偿还流动负债的能力。计算公式为：</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drawing>
                <wp:inline distT="0" distB="0" distL="114300" distR="114300">
                  <wp:extent cx="2711450" cy="652780"/>
                  <wp:effectExtent l="0" t="0" r="6350" b="7620"/>
                  <wp:docPr id="3"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图片 3"/>
                          <pic:cNvPicPr>
                            <a:picLocks noChangeAspect="1"/>
                          </pic:cNvPicPr>
                        </pic:nvPicPr>
                        <pic:blipFill>
                          <a:blip r:embed="rId5"/>
                          <a:stretch>
                            <a:fillRect/>
                          </a:stretch>
                        </pic:blipFill>
                        <pic:spPr>
                          <a:xfrm>
                            <a:off x="0" y="0"/>
                            <a:ext cx="2711450" cy="652780"/>
                          </a:xfrm>
                          <a:prstGeom prst="rect">
                            <a:avLst/>
                          </a:prstGeom>
                          <a:noFill/>
                          <a:ln>
                            <a:noFill/>
                          </a:ln>
                        </pic:spPr>
                      </pic:pic>
                    </a:graphicData>
                  </a:graphic>
                </wp:inline>
              </w:drawing>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一般情况下，流动比率越高，反映企业短期偿债能力越强，债权人的权益越有保障。一般认为流动比率为 2 : 1 时比较合理。它表明企业财务状况稳定可靠，除了具有满足日常生产经营的流动资金外，还有足够的资金偿付到期的短期债务。</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流动比率过低，企业可能面临清偿到期债务的困难；流动比率过高，表明企业持有较多不能盈利的闲置流动资产。流动比率究竟为多少较合理，主要依据企业对待风险与收益的态度予以确定。</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1）流动比率越高，一般认为偿还短期债务的能力越强，但并不能说明企业已有足够的现金或银行存款用来偿债。因为流动资产除了货币资金外，还有存货、应收账款、待摊费用等项目。有时会出现流动比率较高，但用来偿债的现金和银行存款却严重短缺。所以企业应在分析流动比率的基础上，要进一步对现金流量加以考察。</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（2）应尽可能将流动比率维持在不使货币资金闲置的水平上。</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（3）流动比率是否合理，不同企业甚至同一企业不同时期会有不同的标准，不能一刀切。</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根据 A 股份有限公司的资产负债表，该公司 2019 年的流动比率为：</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年初流动比率：4 751 400÷2 651 400=1.79</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年末流动比率：4 139 335÷1 572 649.85=2.63</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该企业年初流动比率为 1.79，年末流动比率为 2.63，说明企业短期偿债能力有较大幅度的提高。至于该比率是否合理，还应结合本企业历史资料和同行业平均水平进行分析。</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bCs w:val="0"/>
                <w:color w:val="000000"/>
                <w:kern w:val="2"/>
                <w:sz w:val="21"/>
                <w:szCs w:val="21"/>
                <w:lang w:val="en-US" w:eastAsia="zh-CN" w:bidi="ar"/>
              </w:rPr>
            </w:pPr>
            <w:r>
              <w:rPr>
                <w:rFonts w:hint="eastAsia" w:ascii="宋体" w:hAnsi="宋体" w:eastAsia="宋体" w:cs="宋体"/>
                <w:b/>
                <w:bCs w:val="0"/>
                <w:color w:val="000000"/>
                <w:kern w:val="2"/>
                <w:sz w:val="21"/>
                <w:szCs w:val="21"/>
                <w:lang w:val="en-US" w:eastAsia="zh-CN" w:bidi="ar"/>
              </w:rPr>
              <w:t>（二）速动比率</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速动比率是指企业速动资产与流动负债的比率。速动资产是指流动资产减去变现能力较差且不稳定的存货、待摊费用、预付账款、待处理流动资产损失后的</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right="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余额。由于剔除了存货等变现能力较差且不稳定的资产，因此，速动比率较流动比率能够更准确、可靠地评价企业资产的流动性及其偿还短期负债的能力。其计算公式为：</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drawing>
                <wp:inline distT="0" distB="0" distL="114300" distR="114300">
                  <wp:extent cx="2788285" cy="647700"/>
                  <wp:effectExtent l="0" t="0" r="5715" b="12700"/>
                  <wp:docPr id="4"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图片 4"/>
                          <pic:cNvPicPr>
                            <a:picLocks noChangeAspect="1"/>
                          </pic:cNvPicPr>
                        </pic:nvPicPr>
                        <pic:blipFill>
                          <a:blip r:embed="rId6"/>
                          <a:stretch>
                            <a:fillRect/>
                          </a:stretch>
                        </pic:blipFill>
                        <pic:spPr>
                          <a:xfrm>
                            <a:off x="0" y="0"/>
                            <a:ext cx="2788285" cy="647700"/>
                          </a:xfrm>
                          <a:prstGeom prst="rect">
                            <a:avLst/>
                          </a:prstGeom>
                          <a:noFill/>
                          <a:ln>
                            <a:noFill/>
                          </a:ln>
                        </pic:spPr>
                      </pic:pic>
                    </a:graphicData>
                  </a:graphic>
                </wp:inline>
              </w:drawing>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一般认为，速动比率为 1 : 1 时比较合理，说明企业每 1 元流动负债有 1 元的速动资产做保证。速动比率过低，企业面临偿债风险；速动比率过高，说明企业拥有较多的不能盈利的现金和应收账款，从而增加企业资金使用的机会成本。</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bCs w:val="0"/>
                <w:color w:val="000000"/>
                <w:kern w:val="2"/>
                <w:sz w:val="21"/>
                <w:szCs w:val="21"/>
                <w:lang w:val="en-US" w:eastAsia="zh-CN" w:bidi="ar"/>
              </w:rPr>
            </w:pPr>
            <w:r>
              <w:rPr>
                <w:rFonts w:hint="eastAsia" w:ascii="宋体" w:hAnsi="宋体" w:eastAsia="宋体" w:cs="宋体"/>
                <w:b/>
                <w:bCs w:val="0"/>
                <w:color w:val="000000"/>
                <w:kern w:val="2"/>
                <w:sz w:val="21"/>
                <w:szCs w:val="21"/>
                <w:lang w:val="en-US" w:eastAsia="zh-CN" w:bidi="ar"/>
              </w:rPr>
              <w:t>（三）现金比率</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现金比率也称即付比率，是指企业立即可动用的资金与流动负债的比率。企业立即可动用的资金包括企业所拥有的货币资金和有价证券。它是速动资产扣除应收账款后的余额。由于应收账款存在着发生坏账损失的可能性，某些到期的应收账款不一定能按时收回，因此，最能直接反映企业偿付流动负债能力的指标为现金比率。其计算公式为：</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drawing>
                <wp:inline distT="0" distB="0" distL="114300" distR="114300">
                  <wp:extent cx="2525395" cy="1037590"/>
                  <wp:effectExtent l="0" t="0" r="14605" b="3810"/>
                  <wp:docPr id="5"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图片 5"/>
                          <pic:cNvPicPr>
                            <a:picLocks noChangeAspect="1"/>
                          </pic:cNvPicPr>
                        </pic:nvPicPr>
                        <pic:blipFill>
                          <a:blip r:embed="rId7"/>
                          <a:stretch>
                            <a:fillRect/>
                          </a:stretch>
                        </pic:blipFill>
                        <pic:spPr>
                          <a:xfrm>
                            <a:off x="0" y="0"/>
                            <a:ext cx="2525395" cy="1037590"/>
                          </a:xfrm>
                          <a:prstGeom prst="rect">
                            <a:avLst/>
                          </a:prstGeom>
                          <a:noFill/>
                          <a:ln>
                            <a:noFill/>
                          </a:ln>
                        </pic:spPr>
                      </pic:pic>
                    </a:graphicData>
                  </a:graphic>
                </wp:inline>
              </w:drawing>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现金比率一般认为在 1 : 5 以上较好。但是，也不能认为该指标越高越好。该指标太高，是由于企业存在大量不能盈利的货币资金所致，意味着企业流动资金未能得到合理运用，势必会使企业机会成本增加。</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bCs w:val="0"/>
                <w:color w:val="000000"/>
                <w:kern w:val="2"/>
                <w:sz w:val="21"/>
                <w:szCs w:val="21"/>
                <w:lang w:val="en-US" w:eastAsia="zh-CN" w:bidi="ar"/>
              </w:rPr>
              <w:t>二、长期偿债能力分析</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长期偿债能力是指企业偿还长期负债的能力。企业在长期内，不仅需要偿还流动负债，还需偿还非流动负债，因此，长期偿债能力衡量的是对企业所有负债的清偿能力。企业对所有负债的清偿能力取决于其总资产水平，因此长期偿债能力比率考察的是企业资产、负债和所有者权益之间的关系。主要分析指标包括：</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资产负债率、产权比率、有形净值债务率和已获利息倍数。</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bCs w:val="0"/>
                <w:color w:val="000000"/>
                <w:kern w:val="2"/>
                <w:sz w:val="21"/>
                <w:szCs w:val="21"/>
                <w:lang w:val="en-US" w:eastAsia="zh-CN" w:bidi="ar"/>
              </w:rPr>
            </w:pPr>
            <w:r>
              <w:rPr>
                <w:rFonts w:hint="eastAsia" w:ascii="宋体" w:hAnsi="宋体" w:eastAsia="宋体" w:cs="宋体"/>
                <w:b/>
                <w:bCs w:val="0"/>
                <w:color w:val="000000"/>
                <w:kern w:val="2"/>
                <w:sz w:val="21"/>
                <w:szCs w:val="21"/>
                <w:lang w:val="en-US" w:eastAsia="zh-CN" w:bidi="ar"/>
              </w:rPr>
              <w:t>（一）资产负债率</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资产负债率是负债总额除以资产总额的比率。</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资产负债率表明企业全部资产中负债所占的比重，它不仅评价企业用全部资产偿还全部负债的能力，而且是衡量企业负债经营能力和安全程度的指标。其计算公式如下：</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drawing>
                <wp:inline distT="0" distB="0" distL="114300" distR="114300">
                  <wp:extent cx="2654935" cy="527685"/>
                  <wp:effectExtent l="0" t="0" r="12065" b="5715"/>
                  <wp:docPr id="6" name="图片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图片 6"/>
                          <pic:cNvPicPr>
                            <a:picLocks noChangeAspect="1"/>
                          </pic:cNvPicPr>
                        </pic:nvPicPr>
                        <pic:blipFill>
                          <a:blip r:embed="rId8"/>
                          <a:stretch>
                            <a:fillRect/>
                          </a:stretch>
                        </pic:blipFill>
                        <pic:spPr>
                          <a:xfrm>
                            <a:off x="0" y="0"/>
                            <a:ext cx="2654935" cy="527685"/>
                          </a:xfrm>
                          <a:prstGeom prst="rect">
                            <a:avLst/>
                          </a:prstGeom>
                          <a:noFill/>
                          <a:ln>
                            <a:noFill/>
                          </a:ln>
                        </pic:spPr>
                      </pic:pic>
                    </a:graphicData>
                  </a:graphic>
                </wp:inline>
              </w:drawing>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公式中的负债总额不仅包括长期负债，还包括短期负债。这是因为，短期负债作为一个整体，由企业长期占用的，可以视同长期性资本来源的一部分。在企业正常生产经营活动中，一般总会保持一个相对稳定的短期负债数额，这部分短期负债可以成为长期性资本来源的一部分。本着稳健原则，将短期负债包括在负债总额中计算资产负债率是合理的。</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（1）从债权人角度看，他们最关心的是贷给企业款项的安全性，也就是能否收回本金和利息。因此，他们希望该比率越低越好，该比率越低，企业偿债越有保证，其债权就不会有太大的风险。</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2）从投资者角度看，由于企业通过举债筹措的资金与投资者投入的资金在经营中发挥同样的作用，所以，投资者所关心的是全部资本利润率是否超过借入款项利息率。全部资本利润率大于借入款项利息率时，资金通过使用实现利润后，除了偿还利息外，还有剩余，投资人权益会增加。否则，投资人权益会减少，因为借入资本的多余利息要用投资人投入资金创造的利润来偿还。因此，从投资者角度，在全部资本利润率高于借款利息率时，负债比例越大越好，相反，在全部资本利润率低于借款利息率时，负债比例越低越好。</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3）从经营者的角度看，如果负债过大，超出债权人心理承受能力，企业就借不到钱。如果企业不举债，或负债比例过小，说明企业畏缩不前，对前途信心不足，利用债权人资本进行经营活动的能力较差。因此从经营者的角度看，资产负债率应该适度。</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bCs w:val="0"/>
                <w:color w:val="000000"/>
                <w:kern w:val="2"/>
                <w:sz w:val="21"/>
                <w:szCs w:val="21"/>
                <w:lang w:val="en-US" w:eastAsia="zh-CN" w:bidi="ar"/>
              </w:rPr>
              <w:t>（二）产权比率</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产权比率又称资本负债率是指负债总额与所有者权益总额的比率。该指标是企业财务结构稳健与否的重要标志，其计算公式如下：</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drawing>
                <wp:inline distT="0" distB="0" distL="114300" distR="114300">
                  <wp:extent cx="2200910" cy="594995"/>
                  <wp:effectExtent l="0" t="0" r="8890" b="14605"/>
                  <wp:docPr id="7" name="图片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图片 7"/>
                          <pic:cNvPicPr>
                            <a:picLocks noChangeAspect="1"/>
                          </pic:cNvPicPr>
                        </pic:nvPicPr>
                        <pic:blipFill>
                          <a:blip r:embed="rId9"/>
                          <a:stretch>
                            <a:fillRect/>
                          </a:stretch>
                        </pic:blipFill>
                        <pic:spPr>
                          <a:xfrm>
                            <a:off x="0" y="0"/>
                            <a:ext cx="2200910" cy="594995"/>
                          </a:xfrm>
                          <a:prstGeom prst="rect">
                            <a:avLst/>
                          </a:prstGeom>
                          <a:noFill/>
                          <a:ln>
                            <a:noFill/>
                          </a:ln>
                        </pic:spPr>
                      </pic:pic>
                    </a:graphicData>
                  </a:graphic>
                </wp:inline>
              </w:drawing>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产权比率反映债权人提供的资本与股东提供的资本的相对关系，反映企业基本财务关系是否稳定。产权比率高，是高风险、高报酬的财务结构；产权比率低，是低风险、低报酬的财务结构。该指标也表明债权人投入的资本受到所有者权益的保障程度。一般情况下，该比率小于 1 时，企业具有偿债能力，但还应结合企业的具体情况加以分析。</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bCs w:val="0"/>
                <w:color w:val="000000"/>
                <w:kern w:val="2"/>
                <w:sz w:val="21"/>
                <w:szCs w:val="21"/>
                <w:lang w:val="en-US" w:eastAsia="zh-CN" w:bidi="ar"/>
              </w:rPr>
              <w:t>（三）有形净值债务率</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有形净值债务率是企业负债总额与有形净值的百分比。有形净值是企业所有者权益减去无形资产后的净值，即投资者具有所有权的有形资产的总额。其计算公式为：</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drawing>
                <wp:inline distT="0" distB="0" distL="114300" distR="114300">
                  <wp:extent cx="2769235" cy="336550"/>
                  <wp:effectExtent l="0" t="0" r="24765" b="19050"/>
                  <wp:docPr id="8" name="图片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图片 8"/>
                          <pic:cNvPicPr>
                            <a:picLocks noChangeAspect="1"/>
                          </pic:cNvPicPr>
                        </pic:nvPicPr>
                        <pic:blipFill>
                          <a:blip r:embed="rId10"/>
                          <a:stretch>
                            <a:fillRect/>
                          </a:stretch>
                        </pic:blipFill>
                        <pic:spPr>
                          <a:xfrm>
                            <a:off x="0" y="0"/>
                            <a:ext cx="2769235" cy="336550"/>
                          </a:xfrm>
                          <a:prstGeom prst="rect">
                            <a:avLst/>
                          </a:prstGeom>
                          <a:noFill/>
                          <a:ln>
                            <a:noFill/>
                          </a:ln>
                        </pic:spPr>
                      </pic:pic>
                    </a:graphicData>
                  </a:graphic>
                </wp:inline>
              </w:drawing>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有形净值债务率指标实质上是产权比率指标的延伸，它更为谨慎、保守地反映企业清算时债权人投入的资本受所有者权益保障的程度。因为无形资产不一定能用来还债，为谨慎起见，视为不能偿债，将其从所有者权益中扣除。从长期偿债能力来看，该比率越低越好。</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bCs w:val="0"/>
                <w:color w:val="000000"/>
                <w:kern w:val="2"/>
                <w:sz w:val="21"/>
                <w:szCs w:val="21"/>
                <w:lang w:val="en-US" w:eastAsia="zh-CN" w:bidi="ar"/>
              </w:rPr>
              <w:t>（四）已获利息倍数</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已获利息倍数又称利息保障倍数，是指企业息税前利润与利息费用的比率，用以衡量企业偿付借款利息的能力。其计算公式如下：</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drawing>
                <wp:inline distT="0" distB="0" distL="114300" distR="114300">
                  <wp:extent cx="2254250" cy="478155"/>
                  <wp:effectExtent l="0" t="0" r="6350" b="4445"/>
                  <wp:docPr id="9" name="图片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图片 9"/>
                          <pic:cNvPicPr>
                            <a:picLocks noChangeAspect="1"/>
                          </pic:cNvPicPr>
                        </pic:nvPicPr>
                        <pic:blipFill>
                          <a:blip r:embed="rId11"/>
                          <a:stretch>
                            <a:fillRect/>
                          </a:stretch>
                        </pic:blipFill>
                        <pic:spPr>
                          <a:xfrm>
                            <a:off x="0" y="0"/>
                            <a:ext cx="2254250" cy="478155"/>
                          </a:xfrm>
                          <a:prstGeom prst="rect">
                            <a:avLst/>
                          </a:prstGeom>
                          <a:noFill/>
                          <a:ln>
                            <a:noFill/>
                          </a:ln>
                        </pic:spPr>
                      </pic:pic>
                    </a:graphicData>
                  </a:graphic>
                </wp:inline>
              </w:drawing>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息税前利润是指扣除债务利息和所得税之前的利润。该指标反映企业息税前利润是所需支付的债务利息的多少倍。只要已获利息倍数足够大，企业就有充足的能力偿付利息，从长期看，已获利息倍数至少应当大于 1，且比值越高，企业长期偿债能力一般也越强。如果已获利息倍数过小，企业将面临亏损、偿债安全性与稳定性下降的风险。至于已获利息倍数应为多少，才算合理，要根据企业历史资料结合行业平均水平来判断。</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营运能力主要指资产运用、循环的效率高低。一般而言，资金周转速度越快，说明企业的资金管理水平越高；资金利用效率越高，企业可以以较少的投入获得较多的收益。因此，营运能力指标是通过投入与产出 ( 主要指收入 ) 之间的关系反映。随着市场经济的发展、竞争的加剧，对营运能力的分析有利于对企业实力的了解和对市场变化的适应，使管理机构对重大问题能做出正确的决策。企业营运能力分析主要包括：流动资产营运能力分析、固定资产营运能力分析和总资产营运能力分析三个方面。</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bCs w:val="0"/>
                <w:color w:val="000000"/>
                <w:kern w:val="2"/>
                <w:sz w:val="21"/>
                <w:szCs w:val="21"/>
                <w:lang w:val="en-US" w:eastAsia="zh-CN" w:bidi="ar"/>
              </w:rPr>
            </w:pPr>
            <w:r>
              <w:rPr>
                <w:rFonts w:hint="eastAsia" w:ascii="宋体" w:hAnsi="宋体" w:eastAsia="宋体" w:cs="宋体"/>
                <w:b/>
                <w:bCs w:val="0"/>
                <w:color w:val="000000"/>
                <w:kern w:val="2"/>
                <w:sz w:val="21"/>
                <w:szCs w:val="21"/>
                <w:lang w:val="en-US" w:eastAsia="zh-CN" w:bidi="ar"/>
              </w:rPr>
              <w:t>营运能力分析</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bCs w:val="0"/>
                <w:color w:val="000000"/>
                <w:kern w:val="2"/>
                <w:sz w:val="21"/>
                <w:szCs w:val="21"/>
                <w:lang w:val="en-US" w:eastAsia="zh-CN" w:bidi="ar"/>
              </w:rPr>
              <w:t>一、流动资产周转情况的分析</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流动资产在企业资产中占有重要地位，流动资产管理对提高企业经济效益、实现财务管理目标具有至关重要的作用。流动资产周转分析的指标主要有存货周转率、应收账款周转率和流动资产周转率。</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bCs w:val="0"/>
                <w:color w:val="000000"/>
                <w:kern w:val="2"/>
                <w:sz w:val="21"/>
                <w:szCs w:val="21"/>
                <w:lang w:val="en-US" w:eastAsia="zh-CN" w:bidi="ar"/>
              </w:rPr>
            </w:pPr>
            <w:r>
              <w:rPr>
                <w:rFonts w:hint="eastAsia" w:ascii="宋体" w:hAnsi="宋体" w:eastAsia="宋体" w:cs="宋体"/>
                <w:b/>
                <w:bCs w:val="0"/>
                <w:color w:val="000000"/>
                <w:kern w:val="2"/>
                <w:sz w:val="21"/>
                <w:szCs w:val="21"/>
                <w:lang w:val="en-US" w:eastAsia="zh-CN" w:bidi="ar"/>
              </w:rPr>
              <w:t>（一）存货周转率</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在流动资产中，存货所占比重较大。存货的流动性直接影响企业的流动性。因此，必须重视对存货的分析。</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存货周转率是指一定时期内企业营业成本与存货平均占用额的比率。该指标反映企业销售能力和流动资产流动性，也是衡量企业生产经营各环节中存货营运效率和管理状况的综合性指标。其计算公式如下：</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drawing>
                <wp:inline distT="0" distB="0" distL="114300" distR="114300">
                  <wp:extent cx="2611755" cy="1170940"/>
                  <wp:effectExtent l="0" t="0" r="4445" b="22860"/>
                  <wp:docPr id="10" name="图片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图片 10"/>
                          <pic:cNvPicPr>
                            <a:picLocks noChangeAspect="1"/>
                          </pic:cNvPicPr>
                        </pic:nvPicPr>
                        <pic:blipFill>
                          <a:blip r:embed="rId12"/>
                          <a:stretch>
                            <a:fillRect/>
                          </a:stretch>
                        </pic:blipFill>
                        <pic:spPr>
                          <a:xfrm>
                            <a:off x="0" y="0"/>
                            <a:ext cx="2611755" cy="1170940"/>
                          </a:xfrm>
                          <a:prstGeom prst="rect">
                            <a:avLst/>
                          </a:prstGeom>
                          <a:noFill/>
                          <a:ln>
                            <a:noFill/>
                          </a:ln>
                        </pic:spPr>
                      </pic:pic>
                    </a:graphicData>
                  </a:graphic>
                </wp:inline>
              </w:drawing>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存货周转速度的快慢，不仅反映企业生产经营各环节管理工作状况的好坏，而且会对企业偿债能力及获利能力产生决定性的影响。一般来讲，存货周转率越高，周转天数越少，表明存货变现的速度越快，周转额越大，资金占用水平越低；反之亦然。因此，通过存货周转分析，有利于找出存货管理中存在的问题，使存货管理在保证生产经营连续性的同时，尽可能少占用经营资金，提高资金的使用效率，提高企业短期偿债能力，促进企业管理水平提高。</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bCs w:val="0"/>
                <w:color w:val="000000"/>
                <w:kern w:val="2"/>
                <w:sz w:val="21"/>
                <w:szCs w:val="21"/>
                <w:lang w:val="en-US" w:eastAsia="zh-CN" w:bidi="ar"/>
              </w:rPr>
              <w:t>（二）应收账款周转率</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应收账款和存货一样，在流动资产中有举足轻重的地位。及时收回应收账款，不仅可以提高企业短期偿债能力，也反映出企业应收账款管理的效率较高。</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应收账款周转率是指一定时期内营业收入（或销售收入）与应收账款平均余额之间的比值。其计算公式如下：</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drawing>
                <wp:inline distT="0" distB="0" distL="114300" distR="114300">
                  <wp:extent cx="2635885" cy="1080770"/>
                  <wp:effectExtent l="0" t="0" r="5715" b="11430"/>
                  <wp:docPr id="12" name="图片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图片 12"/>
                          <pic:cNvPicPr>
                            <a:picLocks noChangeAspect="1"/>
                          </pic:cNvPicPr>
                        </pic:nvPicPr>
                        <pic:blipFill>
                          <a:blip r:embed="rId13"/>
                          <a:stretch>
                            <a:fillRect/>
                          </a:stretch>
                        </pic:blipFill>
                        <pic:spPr>
                          <a:xfrm>
                            <a:off x="0" y="0"/>
                            <a:ext cx="2635885" cy="1080770"/>
                          </a:xfrm>
                          <a:prstGeom prst="rect">
                            <a:avLst/>
                          </a:prstGeom>
                          <a:noFill/>
                          <a:ln>
                            <a:noFill/>
                          </a:ln>
                        </pic:spPr>
                      </pic:pic>
                    </a:graphicData>
                  </a:graphic>
                </wp:inline>
              </w:drawing>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一般来说，应收账款周转率越高，周转天数越短，说明应收账款变现速度越快、管理效率越高。这表明公司：收账迅速，账龄较短；资产流动性强，短期偿债能力强；可以减少收账费用和坏账损失，从而相对增加企业流动资产的投资收益。</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应收账款指标分析应注意以下因素对指标计算结果的影响：</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（1）季节性经营的企业使用指标时；</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（2）大量使用分期收款结算方式；</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（3）大量地使用现金结算的销售；</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（4）年末销售大量增加或大幅下降。</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bCs w:val="0"/>
                <w:color w:val="000000"/>
                <w:kern w:val="2"/>
                <w:sz w:val="21"/>
                <w:szCs w:val="21"/>
                <w:lang w:val="en-US" w:eastAsia="zh-CN" w:bidi="ar"/>
              </w:rPr>
              <w:t>（三）流动资产周转率</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流动资产周转率是营业收入与全部流动资产平均余额的比值。是反映企业流动资产周转速度的指标。其计算公式如下：</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drawing>
                <wp:inline distT="0" distB="0" distL="114300" distR="114300">
                  <wp:extent cx="2940050" cy="1183005"/>
                  <wp:effectExtent l="0" t="0" r="6350" b="10795"/>
                  <wp:docPr id="13" name="图片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图片 13"/>
                          <pic:cNvPicPr>
                            <a:picLocks noChangeAspect="1"/>
                          </pic:cNvPicPr>
                        </pic:nvPicPr>
                        <pic:blipFill>
                          <a:blip r:embed="rId14"/>
                          <a:stretch>
                            <a:fillRect/>
                          </a:stretch>
                        </pic:blipFill>
                        <pic:spPr>
                          <a:xfrm>
                            <a:off x="0" y="0"/>
                            <a:ext cx="2940050" cy="1183005"/>
                          </a:xfrm>
                          <a:prstGeom prst="rect">
                            <a:avLst/>
                          </a:prstGeom>
                          <a:noFill/>
                          <a:ln>
                            <a:noFill/>
                          </a:ln>
                        </pic:spPr>
                      </pic:pic>
                    </a:graphicData>
                  </a:graphic>
                </wp:inline>
              </w:drawing>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流动资产周转率反映流动资产的周转速度。周转速度快，会节约流动资产，等于扩大资产投入，增强企业盈利能力；而周转速度慢，则需要补充流动资产，会形成资金使用的浪费，降低企业盈利能力。</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bCs w:val="0"/>
                <w:color w:val="000000"/>
                <w:kern w:val="2"/>
                <w:sz w:val="21"/>
                <w:szCs w:val="21"/>
                <w:lang w:val="en-US" w:eastAsia="zh-CN" w:bidi="ar"/>
              </w:rPr>
              <w:t>二、固定资产周转率分析</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固定资产周转率是指企业营业收入与固定资产平均净值的比率。它反映企业固定资产周转情况，衡量固定资产利用效率。其计算公式为：</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drawing>
                <wp:inline distT="0" distB="0" distL="114300" distR="114300">
                  <wp:extent cx="2592705" cy="363855"/>
                  <wp:effectExtent l="0" t="0" r="23495" b="17145"/>
                  <wp:docPr id="14" name="图片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图片 14"/>
                          <pic:cNvPicPr>
                            <a:picLocks noChangeAspect="1"/>
                          </pic:cNvPicPr>
                        </pic:nvPicPr>
                        <pic:blipFill>
                          <a:blip r:embed="rId15"/>
                          <a:stretch>
                            <a:fillRect/>
                          </a:stretch>
                        </pic:blipFill>
                        <pic:spPr>
                          <a:xfrm>
                            <a:off x="0" y="0"/>
                            <a:ext cx="2592705" cy="363855"/>
                          </a:xfrm>
                          <a:prstGeom prst="rect">
                            <a:avLst/>
                          </a:prstGeom>
                          <a:noFill/>
                          <a:ln>
                            <a:noFill/>
                          </a:ln>
                        </pic:spPr>
                      </pic:pic>
                    </a:graphicData>
                  </a:graphic>
                </wp:inline>
              </w:drawing>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固定资产周转率高，表明企业固定资产利用充分，同时也表明固定资产投资恰当，固定资产结构合理，能够充分发挥效率。反之，固定资产周转率低，则表明固定资产使用效率不高，提供的生产成果少，企业的营运能力较弱。分析时需注意固定资产因计提折旧，其净值在不断地减少以及因更新重置其净值突然增加的影响。</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bCs w:val="0"/>
                <w:color w:val="000000"/>
                <w:kern w:val="2"/>
                <w:sz w:val="21"/>
                <w:szCs w:val="21"/>
                <w:lang w:val="en-US" w:eastAsia="zh-CN" w:bidi="ar"/>
              </w:rPr>
            </w:pPr>
            <w:r>
              <w:rPr>
                <w:rFonts w:hint="eastAsia" w:ascii="宋体" w:hAnsi="宋体" w:eastAsia="宋体" w:cs="宋体"/>
                <w:b/>
                <w:bCs w:val="0"/>
                <w:color w:val="000000"/>
                <w:kern w:val="2"/>
                <w:sz w:val="21"/>
                <w:szCs w:val="21"/>
                <w:lang w:val="en-US" w:eastAsia="zh-CN" w:bidi="ar"/>
              </w:rPr>
              <w:t>三、总资产周转率分析</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总资产周转率是企业营业收入与平均资产总额的比值。其计算公式为：</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drawing>
                <wp:inline distT="0" distB="0" distL="114300" distR="114300">
                  <wp:extent cx="2907030" cy="560070"/>
                  <wp:effectExtent l="0" t="0" r="13970" b="24130"/>
                  <wp:docPr id="15" name="图片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图片 15"/>
                          <pic:cNvPicPr>
                            <a:picLocks noChangeAspect="1"/>
                          </pic:cNvPicPr>
                        </pic:nvPicPr>
                        <pic:blipFill>
                          <a:blip r:embed="rId16"/>
                          <a:stretch>
                            <a:fillRect/>
                          </a:stretch>
                        </pic:blipFill>
                        <pic:spPr>
                          <a:xfrm>
                            <a:off x="0" y="0"/>
                            <a:ext cx="2907030" cy="560070"/>
                          </a:xfrm>
                          <a:prstGeom prst="rect">
                            <a:avLst/>
                          </a:prstGeom>
                          <a:noFill/>
                          <a:ln>
                            <a:noFill/>
                          </a:ln>
                        </pic:spPr>
                      </pic:pic>
                    </a:graphicData>
                  </a:graphic>
                </wp:inline>
              </w:drawing>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bCs w:val="0"/>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总资产周转率用来衡量企业全部资产的使用效率，如果该比率较低，说明企业全部资产营运效率较低，可采用薄利多销或处理多余资产等方法，来加速资产周转，提高运营效率；如果该比率较高，说明资产周转快，销售能力强，资产运营效率高。</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jc w:val="both"/>
              <w:textAlignment w:val="auto"/>
              <w:rPr>
                <w:rFonts w:hint="default" w:ascii="Times New Roman" w:hAnsi="Times New Roman"/>
                <w:szCs w:val="24"/>
              </w:rPr>
            </w:pPr>
            <w:r>
              <w:rPr>
                <w:rFonts w:hint="eastAsia" w:ascii="宋体" w:hAnsi="宋体" w:eastAsia="宋体" w:cs="宋体"/>
                <w:b/>
                <w:bCs/>
                <w:color w:val="538135"/>
                <w:kern w:val="2"/>
                <w:sz w:val="21"/>
                <w:szCs w:val="21"/>
                <w:lang w:val="en-US" w:eastAsia="zh-CN" w:bidi="ar"/>
              </w:rPr>
              <w:t>【学生】</w:t>
            </w:r>
            <w:r>
              <w:rPr>
                <w:rFonts w:hint="eastAsia" w:ascii="宋体" w:hAnsi="宋体" w:eastAsia="宋体" w:cs="宋体"/>
                <w:color w:val="538135"/>
                <w:kern w:val="2"/>
                <w:sz w:val="21"/>
                <w:szCs w:val="21"/>
                <w:lang w:val="en-US" w:eastAsia="zh-CN" w:bidi="ar"/>
              </w:rPr>
              <w:t>思考、讨论。</w:t>
            </w:r>
          </w:p>
        </w:tc>
        <w:tc>
          <w:tcPr>
            <w:tcW w:w="1366" w:type="dxa"/>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0" w:right="0"/>
              <w:jc w:val="left"/>
              <w:textAlignment w:val="auto"/>
              <w:rPr>
                <w:rFonts w:hint="default" w:ascii="Times New Roman" w:hAnsi="Times New Roman"/>
                <w:b/>
                <w:szCs w:val="24"/>
              </w:rPr>
            </w:pPr>
            <w:r>
              <w:rPr>
                <w:rFonts w:hint="eastAsia" w:ascii="Times New Roman" w:hAnsi="Times New Roman"/>
                <w:b/>
                <w:szCs w:val="24"/>
              </w:rPr>
              <w:t>通过教师讲解，了解偿债能力分析和营运能力分析的基本理论知识。</w:t>
            </w:r>
          </w:p>
        </w:tc>
      </w:tr>
      <w:tr>
        <w:trPr>
          <w:trHeight w:val="90" w:hRule="atLeast"/>
          <w:jc w:val="center"/>
        </w:trPr>
        <w:tc>
          <w:tcPr>
            <w:tcW w:w="1276" w:type="dxa"/>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ind w:left="0" w:right="0"/>
              <w:jc w:val="both"/>
              <w:textAlignment w:val="auto"/>
              <w:rPr>
                <w:rFonts w:hint="eastAsia" w:ascii="微软雅黑" w:hAnsi="微软雅黑" w:eastAsia="微软雅黑" w:cs="Times New Roman"/>
                <w:b/>
                <w:bCs w:val="0"/>
                <w:kern w:val="2"/>
                <w:sz w:val="24"/>
                <w:szCs w:val="24"/>
              </w:rPr>
            </w:pPr>
            <w:r>
              <w:rPr>
                <w:rFonts w:hint="eastAsia" w:ascii="微软雅黑" w:hAnsi="微软雅黑" w:eastAsia="微软雅黑" w:cs="微软雅黑"/>
                <w:b/>
                <w:bCs w:val="0"/>
                <w:kern w:val="2"/>
                <w:sz w:val="24"/>
                <w:szCs w:val="24"/>
                <w:lang w:val="en-US" w:eastAsia="zh-CN" w:bidi="ar"/>
              </w:rPr>
              <w:t>课堂小结</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ind w:left="0" w:leftChars="0" w:right="0" w:rightChars="0"/>
              <w:jc w:val="both"/>
              <w:textAlignment w:val="auto"/>
              <w:rPr>
                <w:rFonts w:hint="eastAsia" w:ascii="Times New Roman" w:hAnsi="Times New Roman" w:eastAsia="宋体" w:cs="Times New Roman"/>
                <w:kern w:val="2"/>
                <w:sz w:val="21"/>
                <w:szCs w:val="21"/>
                <w:lang w:val="en-US" w:eastAsia="zh-CN" w:bidi="ar-SA"/>
              </w:rPr>
            </w:pPr>
            <w:r>
              <w:rPr>
                <w:rFonts w:hint="eastAsia" w:ascii="宋体" w:hAnsi="宋体" w:eastAsia="宋体" w:cs="宋体"/>
                <w:kern w:val="2"/>
                <w:sz w:val="21"/>
                <w:szCs w:val="21"/>
                <w:lang w:val="en-US" w:eastAsia="zh-CN" w:bidi="ar"/>
              </w:rPr>
              <w:t>（</w:t>
            </w:r>
            <w:r>
              <w:rPr>
                <w:rFonts w:hint="eastAsia" w:ascii="Times New Roman" w:hAnsi="Times New Roman" w:cs="Times New Roman"/>
                <w:kern w:val="2"/>
                <w:sz w:val="21"/>
                <w:szCs w:val="21"/>
                <w:lang w:val="en-US" w:eastAsia="zh-CN" w:bidi="ar"/>
              </w:rPr>
              <w:t>3</w:t>
            </w:r>
            <w:r>
              <w:rPr>
                <w:rFonts w:hint="default" w:ascii="Times New Roman" w:hAnsi="Times New Roman" w:eastAsia="宋体" w:cs="Times New Roman"/>
                <w:kern w:val="2"/>
                <w:sz w:val="21"/>
                <w:szCs w:val="21"/>
                <w:lang w:val="en-US" w:eastAsia="zh-CN" w:bidi="ar"/>
              </w:rPr>
              <w:t>min</w:t>
            </w:r>
            <w:r>
              <w:rPr>
                <w:rFonts w:hint="eastAsia" w:ascii="宋体" w:hAnsi="宋体" w:eastAsia="宋体" w:cs="宋体"/>
                <w:kern w:val="2"/>
                <w:sz w:val="21"/>
                <w:szCs w:val="21"/>
                <w:lang w:val="en-US" w:eastAsia="zh-CN" w:bidi="ar"/>
              </w:rPr>
              <w:t>）</w:t>
            </w:r>
          </w:p>
        </w:tc>
        <w:tc>
          <w:tcPr>
            <w:tcW w:w="5807" w:type="dxa"/>
            <w:tcBorders>
              <w:top w:val="single" w:color="auto" w:sz="4" w:space="0"/>
              <w:left w:val="single" w:color="auto" w:sz="4" w:space="0"/>
              <w:bottom w:val="double" w:color="auto" w:sz="4" w:space="0"/>
              <w:right w:val="single" w:color="auto" w:sz="4" w:space="0"/>
            </w:tcBorders>
            <w:vAlign w:val="center"/>
          </w:tcPr>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jc w:val="both"/>
              <w:textAlignment w:val="auto"/>
              <w:rPr>
                <w:rFonts w:hint="default" w:ascii="Times New Roman" w:hAnsi="Times New Roman" w:eastAsia="宋体" w:cs="Times New Roman"/>
                <w:kern w:val="2"/>
                <w:sz w:val="21"/>
                <w:szCs w:val="21"/>
              </w:rPr>
            </w:pPr>
            <w:r>
              <w:rPr>
                <w:rFonts w:hint="eastAsia" w:ascii="宋体" w:hAnsi="宋体" w:eastAsia="宋体" w:cs="宋体"/>
                <w:kern w:val="2"/>
                <w:sz w:val="21"/>
                <w:szCs w:val="21"/>
                <w:lang w:val="en-US" w:eastAsia="zh-CN" w:bidi="ar"/>
              </w:rPr>
              <w:t>【</w:t>
            </w:r>
            <w:r>
              <w:rPr>
                <w:rFonts w:hint="eastAsia" w:ascii="宋体" w:hAnsi="宋体" w:eastAsia="宋体" w:cs="宋体"/>
                <w:b/>
                <w:bCs w:val="0"/>
                <w:kern w:val="2"/>
                <w:sz w:val="21"/>
                <w:szCs w:val="21"/>
                <w:lang w:val="en-US" w:eastAsia="zh-CN" w:bidi="ar"/>
              </w:rPr>
              <w:t>教师</w:t>
            </w:r>
            <w:r>
              <w:rPr>
                <w:rFonts w:hint="eastAsia" w:ascii="宋体" w:hAnsi="宋体" w:eastAsia="宋体" w:cs="宋体"/>
                <w:kern w:val="2"/>
                <w:sz w:val="21"/>
                <w:szCs w:val="21"/>
                <w:lang w:val="en-US" w:eastAsia="zh-CN" w:bidi="ar"/>
              </w:rPr>
              <w:t>】</w:t>
            </w:r>
            <w:r>
              <w:rPr>
                <w:rFonts w:hint="eastAsia" w:ascii="宋体" w:hAnsi="宋体" w:eastAsia="宋体" w:cs="宋体"/>
                <w:b/>
                <w:bCs w:val="0"/>
                <w:color w:val="CC0066"/>
                <w:kern w:val="2"/>
                <w:sz w:val="21"/>
                <w:szCs w:val="21"/>
                <w:lang w:val="en-US" w:eastAsia="zh-CN" w:bidi="ar"/>
              </w:rPr>
              <w:t>回顾和总结本节课的知识点。</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leftChars="0" w:right="0" w:rightChars="0" w:firstLine="420" w:firstLineChars="200"/>
              <w:jc w:val="both"/>
              <w:textAlignment w:val="auto"/>
              <w:rPr>
                <w:rFonts w:hint="eastAsia" w:ascii="Times New Roman" w:hAnsi="Times New Roman" w:eastAsia="宋体" w:cs="Times New Roman"/>
                <w:b/>
                <w:bCs w:val="0"/>
                <w:kern w:val="2"/>
                <w:sz w:val="21"/>
                <w:szCs w:val="21"/>
                <w:lang w:val="en-US" w:eastAsia="zh-CN" w:bidi="ar-SA"/>
              </w:rPr>
            </w:pPr>
            <w:r>
              <w:rPr>
                <w:rFonts w:hint="eastAsia" w:ascii="宋体" w:hAnsi="宋体" w:eastAsia="宋体" w:cs="宋体"/>
                <w:b/>
                <w:bCs w:val="0"/>
                <w:kern w:val="2"/>
                <w:sz w:val="21"/>
                <w:szCs w:val="21"/>
                <w:lang w:val="en-US" w:eastAsia="zh-CN" w:bidi="ar"/>
              </w:rPr>
              <w:t>这节课我们一起学习了</w:t>
            </w:r>
            <w:r>
              <w:rPr>
                <w:rFonts w:hint="eastAsia" w:ascii="宋体" w:hAnsi="宋体" w:eastAsia="宋体" w:cs="宋体"/>
                <w:b/>
                <w:bCs w:val="0"/>
                <w:kern w:val="0"/>
                <w:sz w:val="21"/>
                <w:szCs w:val="21"/>
                <w:lang w:val="en-US" w:eastAsia="zh-CN" w:bidi="ar"/>
              </w:rPr>
              <w:t>偿债能力分析和营运能力分析</w:t>
            </w:r>
            <w:r>
              <w:rPr>
                <w:rFonts w:hint="eastAsia" w:ascii="宋体" w:hAnsi="宋体" w:cs="宋体"/>
                <w:b/>
                <w:bCs w:val="0"/>
                <w:kern w:val="0"/>
                <w:sz w:val="21"/>
                <w:szCs w:val="21"/>
                <w:lang w:val="en-US" w:eastAsia="zh-CN" w:bidi="ar"/>
              </w:rPr>
              <w:t>，让学生知道使用固定资产周转率指标时，应结合企业历史资料和同行业平均水平进行评价</w:t>
            </w:r>
            <w:r>
              <w:rPr>
                <w:rFonts w:hint="eastAsia" w:ascii="宋体" w:hAnsi="宋体" w:eastAsia="宋体" w:cs="宋体"/>
                <w:b/>
                <w:bCs w:val="0"/>
                <w:kern w:val="2"/>
                <w:sz w:val="21"/>
                <w:szCs w:val="21"/>
                <w:lang w:val="en-US" w:eastAsia="zh-CN" w:bidi="ar"/>
              </w:rPr>
              <w:t>。</w:t>
            </w:r>
          </w:p>
        </w:tc>
        <w:tc>
          <w:tcPr>
            <w:tcW w:w="1366" w:type="dxa"/>
            <w:tcBorders>
              <w:top w:val="single" w:color="auto" w:sz="4" w:space="0"/>
              <w:left w:val="single" w:color="auto" w:sz="4" w:space="0"/>
              <w:bottom w:val="double" w:color="auto" w:sz="4" w:space="0"/>
              <w:right w:val="single" w:color="auto" w:sz="4" w:space="0"/>
            </w:tcBorders>
            <w:vAlign w:val="center"/>
          </w:tcPr>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380" w:lineRule="exact"/>
              <w:ind w:left="0" w:leftChars="0" w:right="0" w:rightChars="0"/>
              <w:jc w:val="both"/>
              <w:textAlignment w:val="auto"/>
              <w:rPr>
                <w:rFonts w:hint="eastAsia" w:ascii="Times New Roman" w:hAnsi="Times New Roman" w:eastAsia="宋体" w:cs="Times New Roman"/>
                <w:kern w:val="2"/>
                <w:sz w:val="21"/>
                <w:szCs w:val="21"/>
                <w:lang w:val="en-US" w:eastAsia="zh-CN" w:bidi="ar-SA"/>
              </w:rPr>
            </w:pPr>
            <w:r>
              <w:rPr>
                <w:rFonts w:hint="eastAsia" w:ascii="宋体" w:hAnsi="宋体" w:eastAsia="宋体" w:cs="宋体"/>
                <w:kern w:val="2"/>
                <w:sz w:val="21"/>
                <w:szCs w:val="21"/>
                <w:lang w:val="en-US" w:eastAsia="zh-CN" w:bidi="ar"/>
              </w:rPr>
              <w:t>通过对所学知识的回顾，培养学生的归纳总结能力</w:t>
            </w:r>
          </w:p>
        </w:tc>
      </w:tr>
      <w:tr>
        <w:trPr>
          <w:trHeight w:val="1531" w:hRule="atLeast"/>
          <w:jc w:val="center"/>
        </w:trPr>
        <w:tc>
          <w:tcPr>
            <w:tcW w:w="1276" w:type="dxa"/>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8" w:leftChars="0" w:right="0" w:rightChars="0" w:hanging="8" w:firstLineChars="0"/>
              <w:jc w:val="both"/>
              <w:textAlignment w:val="auto"/>
              <w:rPr>
                <w:rFonts w:hint="eastAsia" w:ascii="Times New Roman" w:hAnsi="Times New Roman" w:eastAsia="宋体" w:cs="Times New Roman"/>
                <w:kern w:val="2"/>
                <w:sz w:val="21"/>
                <w:szCs w:val="21"/>
                <w:lang w:val="en-US" w:eastAsia="zh-CN" w:bidi="ar-SA"/>
              </w:rPr>
            </w:pPr>
            <w:r>
              <w:rPr>
                <w:rFonts w:hint="eastAsia" w:ascii="微软雅黑" w:hAnsi="微软雅黑" w:eastAsia="微软雅黑" w:cs="微软雅黑"/>
                <w:b/>
                <w:bCs w:val="0"/>
                <w:kern w:val="2"/>
                <w:sz w:val="24"/>
                <w:szCs w:val="24"/>
                <w:lang w:val="en-US" w:eastAsia="zh-CN" w:bidi="ar"/>
              </w:rPr>
              <w:t>作业布置</w:t>
            </w:r>
            <w:r>
              <w:rPr>
                <w:rFonts w:hint="eastAsia" w:ascii="宋体" w:hAnsi="宋体" w:eastAsia="宋体" w:cs="宋体"/>
                <w:b w:val="0"/>
                <w:bCs w:val="0"/>
                <w:kern w:val="2"/>
                <w:sz w:val="21"/>
                <w:szCs w:val="21"/>
                <w:lang w:val="en-US" w:eastAsia="zh-CN" w:bidi="ar"/>
              </w:rPr>
              <w:t>（</w:t>
            </w:r>
            <w:r>
              <w:rPr>
                <w:rFonts w:hint="eastAsia" w:ascii="Times New Roman" w:hAnsi="Times New Roman" w:cs="Times New Roman"/>
                <w:b w:val="0"/>
                <w:bCs w:val="0"/>
                <w:kern w:val="2"/>
                <w:sz w:val="21"/>
                <w:szCs w:val="21"/>
                <w:lang w:val="en-US" w:eastAsia="zh-CN" w:bidi="ar"/>
              </w:rPr>
              <w:t>2</w:t>
            </w:r>
            <w:r>
              <w:rPr>
                <w:rFonts w:hint="default" w:ascii="Times New Roman" w:hAnsi="Times New Roman" w:eastAsia="宋体" w:cs="Times New Roman"/>
                <w:b w:val="0"/>
                <w:bCs w:val="0"/>
                <w:kern w:val="2"/>
                <w:sz w:val="21"/>
                <w:szCs w:val="21"/>
                <w:lang w:val="en-US" w:eastAsia="zh-CN" w:bidi="ar"/>
              </w:rPr>
              <w:t>min</w:t>
            </w:r>
            <w:r>
              <w:rPr>
                <w:rFonts w:hint="eastAsia" w:ascii="宋体" w:hAnsi="宋体" w:eastAsia="宋体" w:cs="宋体"/>
                <w:b w:val="0"/>
                <w:bCs w:val="0"/>
                <w:kern w:val="2"/>
                <w:sz w:val="21"/>
                <w:szCs w:val="21"/>
                <w:lang w:val="en-US" w:eastAsia="zh-CN" w:bidi="ar"/>
              </w:rPr>
              <w:t>）</w:t>
            </w:r>
          </w:p>
        </w:tc>
        <w:tc>
          <w:tcPr>
            <w:tcW w:w="5807" w:type="dxa"/>
            <w:tcBorders>
              <w:top w:val="single" w:color="auto" w:sz="4" w:space="0"/>
              <w:left w:val="single" w:color="auto" w:sz="4" w:space="0"/>
              <w:bottom w:val="double" w:color="auto" w:sz="4" w:space="0"/>
              <w:right w:val="single" w:color="auto" w:sz="4" w:space="0"/>
            </w:tcBorders>
            <w:vAlign w:val="center"/>
          </w:tcPr>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jc w:val="both"/>
              <w:textAlignment w:val="auto"/>
              <w:rPr>
                <w:rFonts w:hint="eastAsia" w:ascii="宋体" w:hAnsi="宋体" w:eastAsia="宋体" w:cs="宋体"/>
                <w:b w:val="0"/>
                <w:bCs/>
                <w:color w:val="C00000"/>
                <w:kern w:val="2"/>
                <w:sz w:val="21"/>
                <w:szCs w:val="21"/>
              </w:rPr>
            </w:pPr>
            <w:r>
              <w:rPr>
                <w:rFonts w:hint="eastAsia" w:ascii="宋体" w:hAnsi="宋体" w:eastAsia="宋体" w:cs="宋体"/>
                <w:b/>
                <w:bCs w:val="0"/>
                <w:color w:val="C00000"/>
                <w:kern w:val="2"/>
                <w:sz w:val="21"/>
                <w:szCs w:val="21"/>
                <w:lang w:val="en-US" w:eastAsia="zh-CN" w:bidi="ar"/>
              </w:rPr>
              <w:t>【教师】</w:t>
            </w:r>
            <w:r>
              <w:rPr>
                <w:rFonts w:hint="eastAsia" w:ascii="宋体" w:hAnsi="宋体" w:eastAsia="宋体" w:cs="宋体"/>
                <w:b w:val="0"/>
                <w:bCs/>
                <w:color w:val="C00000"/>
                <w:kern w:val="2"/>
                <w:sz w:val="21"/>
                <w:szCs w:val="21"/>
                <w:lang w:val="en-US" w:eastAsia="zh-CN" w:bidi="ar"/>
              </w:rPr>
              <w:t>布置课后作业</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leftChars="0" w:right="0" w:rightChars="0" w:firstLine="420" w:firstLineChars="200"/>
              <w:jc w:val="both"/>
              <w:textAlignment w:val="auto"/>
              <w:rPr>
                <w:rFonts w:hint="eastAsia" w:ascii="Calibri" w:hAnsi="宋体" w:eastAsia="宋体" w:cs="Times New Roman"/>
                <w:bCs/>
                <w:kern w:val="2"/>
                <w:sz w:val="21"/>
                <w:szCs w:val="21"/>
                <w:lang w:val="en-US" w:eastAsia="zh-CN" w:bidi="ar-SA"/>
              </w:rPr>
            </w:pPr>
            <w:r>
              <w:rPr>
                <w:rFonts w:hint="eastAsia" w:ascii="宋体" w:hAnsi="宋体" w:cs="宋体"/>
                <w:bCs/>
                <w:kern w:val="2"/>
                <w:sz w:val="21"/>
                <w:szCs w:val="21"/>
                <w:lang w:val="en-US" w:eastAsia="zh-CN" w:bidi="ar"/>
              </w:rPr>
              <w:t>简述总资产周转率分析。</w:t>
            </w:r>
          </w:p>
        </w:tc>
        <w:tc>
          <w:tcPr>
            <w:tcW w:w="1366" w:type="dxa"/>
            <w:tcBorders>
              <w:top w:val="single" w:color="auto" w:sz="4" w:space="0"/>
              <w:left w:val="single" w:color="auto" w:sz="4" w:space="0"/>
              <w:bottom w:val="double" w:color="auto" w:sz="4" w:space="0"/>
              <w:right w:val="single" w:color="auto" w:sz="4" w:space="0"/>
            </w:tcBorders>
            <w:vAlign w:val="center"/>
          </w:tcPr>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0" w:leftChars="0" w:right="0" w:rightChars="0"/>
              <w:jc w:val="left"/>
              <w:textAlignment w:val="auto"/>
              <w:rPr>
                <w:rFonts w:hint="eastAsia" w:ascii="Times New Roman" w:hAnsi="Times New Roman" w:eastAsia="宋体" w:cs="Times New Roman"/>
                <w:b/>
                <w:bCs w:val="0"/>
                <w:kern w:val="2"/>
                <w:sz w:val="21"/>
                <w:szCs w:val="21"/>
                <w:lang w:val="en-US" w:eastAsia="zh-CN" w:bidi="ar-SA"/>
              </w:rPr>
            </w:pPr>
            <w:r>
              <w:rPr>
                <w:rFonts w:hint="eastAsia" w:ascii="宋体" w:hAnsi="宋体" w:eastAsia="宋体" w:cs="宋体"/>
                <w:b w:val="0"/>
                <w:bCs/>
                <w:kern w:val="2"/>
                <w:sz w:val="21"/>
                <w:szCs w:val="21"/>
                <w:lang w:val="en-US" w:eastAsia="zh-CN" w:bidi="ar"/>
              </w:rPr>
              <w:t>通过课后练习，使学生巩固所学新知识</w:t>
            </w:r>
          </w:p>
        </w:tc>
      </w:tr>
      <w:tr>
        <w:trPr>
          <w:trHeight w:val="3251" w:hRule="atLeast"/>
          <w:jc w:val="center"/>
        </w:trPr>
        <w:tc>
          <w:tcPr>
            <w:tcW w:w="1276" w:type="dxa"/>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0" w:right="0"/>
              <w:textAlignment w:val="auto"/>
              <w:rPr>
                <w:rFonts w:hint="eastAsia" w:ascii="微软雅黑" w:hAnsi="微软雅黑" w:eastAsia="微软雅黑"/>
                <w:b/>
                <w:sz w:val="24"/>
                <w:szCs w:val="24"/>
                <w:lang w:eastAsia="zh-CN"/>
              </w:rPr>
            </w:pPr>
            <w:r>
              <w:rPr>
                <w:rFonts w:hint="eastAsia" w:ascii="微软雅黑" w:hAnsi="微软雅黑" w:eastAsia="微软雅黑"/>
                <w:b/>
                <w:sz w:val="24"/>
                <w:szCs w:val="24"/>
                <w:lang w:eastAsia="zh-CN"/>
              </w:rPr>
              <w:t>知识讲解</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0" w:right="0" w:hanging="8"/>
              <w:textAlignment w:val="auto"/>
              <w:rPr>
                <w:rFonts w:hint="default" w:ascii="Times New Roman" w:hAnsi="Times New Roman"/>
                <w:b/>
                <w:szCs w:val="24"/>
              </w:rPr>
            </w:pPr>
            <w:r>
              <w:rPr>
                <w:rFonts w:hint="default" w:ascii="Times New Roman" w:hAnsi="Times New Roman"/>
                <w:szCs w:val="24"/>
              </w:rPr>
              <w:t>（40</w:t>
            </w:r>
            <w:r>
              <w:rPr>
                <w:rFonts w:hint="eastAsia" w:ascii="Times New Roman" w:hAnsi="Times New Roman"/>
                <w:szCs w:val="24"/>
              </w:rPr>
              <w:t>min）</w:t>
            </w:r>
          </w:p>
        </w:tc>
        <w:tc>
          <w:tcPr>
            <w:tcW w:w="5807" w:type="dxa"/>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jc w:val="both"/>
              <w:textAlignment w:val="auto"/>
              <w:rPr>
                <w:rFonts w:hint="default" w:ascii="Times New Roman" w:hAnsi="Times New Roman" w:eastAsia="宋体" w:cs="Times New Roman"/>
                <w:b/>
                <w:bCs w:val="0"/>
                <w:color w:val="C00000"/>
                <w:kern w:val="2"/>
                <w:sz w:val="21"/>
                <w:szCs w:val="21"/>
                <w:lang w:val="en-US"/>
              </w:rPr>
            </w:pPr>
            <w:r>
              <w:rPr>
                <w:rFonts w:hint="eastAsia" w:ascii="宋体" w:hAnsi="宋体" w:eastAsia="宋体" w:cs="宋体"/>
                <w:b/>
                <w:bCs w:val="0"/>
                <w:color w:val="C00000"/>
                <w:kern w:val="2"/>
                <w:sz w:val="21"/>
                <w:szCs w:val="21"/>
                <w:lang w:val="en-US" w:eastAsia="zh-CN" w:bidi="ar"/>
              </w:rPr>
              <w:t>【教师】</w:t>
            </w:r>
            <w:r>
              <w:rPr>
                <w:rFonts w:hint="eastAsia" w:ascii="宋体" w:hAnsi="宋体" w:eastAsia="宋体" w:cs="宋体"/>
                <w:b w:val="0"/>
                <w:bCs/>
                <w:color w:val="C00000"/>
                <w:kern w:val="2"/>
                <w:sz w:val="21"/>
                <w:szCs w:val="21"/>
                <w:lang w:val="en-US" w:eastAsia="zh-CN" w:bidi="ar"/>
              </w:rPr>
              <w:t>展示盈利能力分析</w:t>
            </w:r>
            <w:r>
              <w:rPr>
                <w:rFonts w:hint="eastAsia" w:ascii="宋体" w:hAnsi="宋体" w:cs="宋体"/>
                <w:b w:val="0"/>
                <w:bCs/>
                <w:color w:val="C00000"/>
                <w:kern w:val="2"/>
                <w:sz w:val="21"/>
                <w:szCs w:val="21"/>
                <w:lang w:val="en-US" w:eastAsia="zh-CN" w:bidi="ar"/>
              </w:rPr>
              <w:t>和财务综合分析</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bCs w:val="0"/>
                <w:color w:val="000000"/>
                <w:kern w:val="2"/>
                <w:sz w:val="21"/>
                <w:szCs w:val="21"/>
                <w:lang w:val="en-US" w:eastAsia="zh-CN" w:bidi="ar"/>
              </w:rPr>
              <w:t>盈利能力分析</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盈利能力是企业获取利润、实现资金增值的能力，盈利能力指标主要通过收入与利润之间的关系、资产与利润之间的关系反映。企业经营的最终评价是企业获利的多少。无论是企业的投资者还是债权人，都非常重视企业的获利能力，认为它比财务状况、营运能力更显重要。投资者的直接目的就是获得更多的利润，因此对于信用相仿的几个企业，人们总是将资金投给利润优厚的企业。企业管理者自然更关心本企业的盈利能力。利润是投资者取得投资收益、债权人收取本息的资金来源，是经营者经营业绩和管理效率的集中体现，也是职工福利的保障。因此，企业盈利能力分析十分重要。反映企业盈利能力的指标很多，通常使用的指标主要有：营业利润率、成本费用利润率、盈余现金保障倍数、总资产报酬率、净资产收益率和资本收益率六项指标。此外，上市公司经常使用的获利能力指标还有每股收益、每股股利、市盈率和每股净资产等。</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bCs w:val="0"/>
                <w:color w:val="000000"/>
                <w:kern w:val="2"/>
                <w:sz w:val="21"/>
                <w:szCs w:val="21"/>
                <w:lang w:val="en-US" w:eastAsia="zh-CN" w:bidi="ar"/>
              </w:rPr>
              <w:t>一、营业利润率</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营业利润率是指净利润与营业收入的百分比。其计算公式为：</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drawing>
                <wp:inline distT="0" distB="0" distL="114300" distR="114300">
                  <wp:extent cx="2318385" cy="454660"/>
                  <wp:effectExtent l="0" t="0" r="18415" b="2540"/>
                  <wp:docPr id="16" name="图片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图片 16"/>
                          <pic:cNvPicPr>
                            <a:picLocks noChangeAspect="1"/>
                          </pic:cNvPicPr>
                        </pic:nvPicPr>
                        <pic:blipFill>
                          <a:blip r:embed="rId17"/>
                          <a:stretch>
                            <a:fillRect/>
                          </a:stretch>
                        </pic:blipFill>
                        <pic:spPr>
                          <a:xfrm>
                            <a:off x="0" y="0"/>
                            <a:ext cx="2318385" cy="454660"/>
                          </a:xfrm>
                          <a:prstGeom prst="rect">
                            <a:avLst/>
                          </a:prstGeom>
                          <a:noFill/>
                          <a:ln>
                            <a:noFill/>
                          </a:ln>
                        </pic:spPr>
                      </pic:pic>
                    </a:graphicData>
                  </a:graphic>
                </wp:inline>
              </w:drawing>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营业利润率指标反映每一元营业收入带来的净利润的多少。表示营业收入的收益水平。通过分析营业利润率的升降变动，可以促使企业在扩大销售的同时，注意改进经营管理，提高盈利能力。从利润表来看，企业的利润可以分为三个层次：营业利润、利润总额、净利润。</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bCs w:val="0"/>
                <w:color w:val="000000"/>
                <w:kern w:val="2"/>
                <w:sz w:val="21"/>
                <w:szCs w:val="21"/>
                <w:lang w:val="en-US" w:eastAsia="zh-CN" w:bidi="ar"/>
              </w:rPr>
              <w:t>二、成本费用利润率</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成本费用利润率是指企业在一定时期利润总额与成本费用总额的比率。其计算公式为：</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drawing>
                <wp:inline distT="0" distB="0" distL="114300" distR="114300">
                  <wp:extent cx="2831465" cy="661035"/>
                  <wp:effectExtent l="0" t="0" r="13335" b="24765"/>
                  <wp:docPr id="17" name="图片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图片 17"/>
                          <pic:cNvPicPr>
                            <a:picLocks noChangeAspect="1"/>
                          </pic:cNvPicPr>
                        </pic:nvPicPr>
                        <pic:blipFill>
                          <a:blip r:embed="rId18"/>
                          <a:stretch>
                            <a:fillRect/>
                          </a:stretch>
                        </pic:blipFill>
                        <pic:spPr>
                          <a:xfrm>
                            <a:off x="0" y="0"/>
                            <a:ext cx="2831465" cy="661035"/>
                          </a:xfrm>
                          <a:prstGeom prst="rect">
                            <a:avLst/>
                          </a:prstGeom>
                          <a:noFill/>
                          <a:ln>
                            <a:noFill/>
                          </a:ln>
                        </pic:spPr>
                      </pic:pic>
                    </a:graphicData>
                  </a:graphic>
                </wp:inline>
              </w:drawing>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该指标越高，表明企业单位成本费用所获得的利润越高，获利能力越强。</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bCs w:val="0"/>
                <w:color w:val="000000"/>
                <w:kern w:val="2"/>
                <w:sz w:val="21"/>
                <w:szCs w:val="21"/>
                <w:lang w:val="en-US" w:eastAsia="zh-CN" w:bidi="ar"/>
              </w:rPr>
              <w:t>三、盈余现金保障倍数</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盈余现金保障倍数是企业一定时期经营现金净流量与净利润的比率，反映了企业当期净利润中现金收益的保障程度和企业盈余的质量。其计算公式为：</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drawing>
                <wp:inline distT="0" distB="0" distL="114300" distR="114300">
                  <wp:extent cx="2550160" cy="488950"/>
                  <wp:effectExtent l="0" t="0" r="15240" b="19050"/>
                  <wp:docPr id="18" name="图片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图片 18"/>
                          <pic:cNvPicPr>
                            <a:picLocks noChangeAspect="1"/>
                          </pic:cNvPicPr>
                        </pic:nvPicPr>
                        <pic:blipFill>
                          <a:blip r:embed="rId19"/>
                          <a:stretch>
                            <a:fillRect/>
                          </a:stretch>
                        </pic:blipFill>
                        <pic:spPr>
                          <a:xfrm>
                            <a:off x="0" y="0"/>
                            <a:ext cx="2550160" cy="488950"/>
                          </a:xfrm>
                          <a:prstGeom prst="rect">
                            <a:avLst/>
                          </a:prstGeom>
                          <a:noFill/>
                          <a:ln>
                            <a:noFill/>
                          </a:ln>
                        </pic:spPr>
                      </pic:pic>
                    </a:graphicData>
                  </a:graphic>
                </wp:inline>
              </w:drawing>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一般来说，当企业净利润大于 0 时，盈余现金保障倍数应该大于 1。该指标越大，表明企业经营活动产生的净利润对现金的贡献越大。经营现金净流量的数据可以从公司的现金流量表中获得。</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bCs w:val="0"/>
                <w:color w:val="000000"/>
                <w:kern w:val="2"/>
                <w:sz w:val="21"/>
                <w:szCs w:val="21"/>
                <w:lang w:val="en-US" w:eastAsia="zh-CN" w:bidi="ar"/>
              </w:rPr>
              <w:t>四、总资产报酬率</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总资产报酬率是企业一定时期内获得的报酬总额与平均资产总额比率。它反映企业资产综合利用效果。其计算公式为：</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drawing>
                <wp:inline distT="0" distB="0" distL="114300" distR="114300">
                  <wp:extent cx="2708275" cy="809625"/>
                  <wp:effectExtent l="0" t="0" r="9525" b="3175"/>
                  <wp:docPr id="19" name="图片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图片 19"/>
                          <pic:cNvPicPr>
                            <a:picLocks noChangeAspect="1"/>
                          </pic:cNvPicPr>
                        </pic:nvPicPr>
                        <pic:blipFill>
                          <a:blip r:embed="rId20"/>
                          <a:stretch>
                            <a:fillRect/>
                          </a:stretch>
                        </pic:blipFill>
                        <pic:spPr>
                          <a:xfrm>
                            <a:off x="0" y="0"/>
                            <a:ext cx="2708275" cy="809625"/>
                          </a:xfrm>
                          <a:prstGeom prst="rect">
                            <a:avLst/>
                          </a:prstGeom>
                          <a:noFill/>
                          <a:ln>
                            <a:noFill/>
                          </a:ln>
                        </pic:spPr>
                      </pic:pic>
                    </a:graphicData>
                  </a:graphic>
                </wp:inline>
              </w:drawing>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bCs w:val="0"/>
                <w:color w:val="000000"/>
                <w:kern w:val="2"/>
                <w:sz w:val="21"/>
                <w:szCs w:val="21"/>
                <w:lang w:val="en-US" w:eastAsia="zh-CN" w:bidi="ar"/>
              </w:rPr>
              <w:t>五、净资产收益率</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净资产收益率也叫净值报酬率或权益报酬率，是指净利润与平均净资产的比率。其计算公式为：</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drawing>
                <wp:inline distT="0" distB="0" distL="114300" distR="114300">
                  <wp:extent cx="2662555" cy="506730"/>
                  <wp:effectExtent l="0" t="0" r="4445" b="1270"/>
                  <wp:docPr id="20" name="图片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图片 20"/>
                          <pic:cNvPicPr>
                            <a:picLocks noChangeAspect="1"/>
                          </pic:cNvPicPr>
                        </pic:nvPicPr>
                        <pic:blipFill>
                          <a:blip r:embed="rId21"/>
                          <a:stretch>
                            <a:fillRect/>
                          </a:stretch>
                        </pic:blipFill>
                        <pic:spPr>
                          <a:xfrm>
                            <a:off x="0" y="0"/>
                            <a:ext cx="2662555" cy="506730"/>
                          </a:xfrm>
                          <a:prstGeom prst="rect">
                            <a:avLst/>
                          </a:prstGeom>
                          <a:noFill/>
                          <a:ln>
                            <a:noFill/>
                          </a:ln>
                        </pic:spPr>
                      </pic:pic>
                    </a:graphicData>
                  </a:graphic>
                </wp:inline>
              </w:drawing>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净资产收益率反映公司所有者权益的投资报酬率，具有很强的综合性。企业的偿债能力、营运能力及盈利能力的大小都会对该指标产生影响。也可以说，该指标几乎把企业经营管理所有重大方面都体现出来了。具体内容见“杜邦财务分析体系”。</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bCs w:val="0"/>
                <w:color w:val="000000"/>
                <w:kern w:val="2"/>
                <w:sz w:val="21"/>
                <w:szCs w:val="21"/>
                <w:lang w:val="en-US" w:eastAsia="zh-CN" w:bidi="ar"/>
              </w:rPr>
              <w:t>六、资本收益率</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资本收益率是企业一定时期净利润与平均资本（即资本性投入及其资本溢价）的比率，反映企业实际获得投资额的回报水平。其计算公式为：</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drawing>
                <wp:inline distT="0" distB="0" distL="114300" distR="114300">
                  <wp:extent cx="2842260" cy="852170"/>
                  <wp:effectExtent l="0" t="0" r="2540" b="11430"/>
                  <wp:docPr id="21" name="图片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图片 21"/>
                          <pic:cNvPicPr>
                            <a:picLocks noChangeAspect="1"/>
                          </pic:cNvPicPr>
                        </pic:nvPicPr>
                        <pic:blipFill>
                          <a:blip r:embed="rId22"/>
                          <a:stretch>
                            <a:fillRect/>
                          </a:stretch>
                        </pic:blipFill>
                        <pic:spPr>
                          <a:xfrm>
                            <a:off x="0" y="0"/>
                            <a:ext cx="2842260" cy="852170"/>
                          </a:xfrm>
                          <a:prstGeom prst="rect">
                            <a:avLst/>
                          </a:prstGeom>
                          <a:noFill/>
                          <a:ln>
                            <a:noFill/>
                          </a:ln>
                        </pic:spPr>
                      </pic:pic>
                    </a:graphicData>
                  </a:graphic>
                </wp:inline>
              </w:drawing>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需要注意的是并非资本公积中的所有金额都属于所有者投入的资本，只有其中的资本溢价（股本溢价）属于资本性投入。</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bCs w:val="0"/>
                <w:color w:val="000000"/>
                <w:kern w:val="2"/>
                <w:sz w:val="21"/>
                <w:szCs w:val="21"/>
                <w:lang w:val="en-US" w:eastAsia="zh-CN" w:bidi="ar"/>
              </w:rPr>
              <w:t>七、每股收益</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每股收益，也称每股利润或每股盈余，反映企业普通股股东持有每一股份所能享有的企业利润和承担的企业亏损，是衡量上市公司获利能力时最常用的财务分析指标，每股收益越高，说明公司的获利越强。每股收益的计算包括基本每股收益和稀释收益。其计算公式为：</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drawing>
                <wp:inline distT="0" distB="0" distL="114300" distR="114300">
                  <wp:extent cx="2921000" cy="367030"/>
                  <wp:effectExtent l="0" t="0" r="0" b="13970"/>
                  <wp:docPr id="22" name="图片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图片 22"/>
                          <pic:cNvPicPr>
                            <a:picLocks noChangeAspect="1"/>
                          </pic:cNvPicPr>
                        </pic:nvPicPr>
                        <pic:blipFill>
                          <a:blip r:embed="rId23"/>
                          <a:stretch>
                            <a:fillRect/>
                          </a:stretch>
                        </pic:blipFill>
                        <pic:spPr>
                          <a:xfrm>
                            <a:off x="0" y="0"/>
                            <a:ext cx="2921000" cy="367030"/>
                          </a:xfrm>
                          <a:prstGeom prst="rect">
                            <a:avLst/>
                          </a:prstGeom>
                          <a:noFill/>
                          <a:ln>
                            <a:noFill/>
                          </a:ln>
                        </pic:spPr>
                      </pic:pic>
                    </a:graphicData>
                  </a:graphic>
                </wp:inline>
              </w:drawing>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bCs w:val="0"/>
                <w:color w:val="000000"/>
                <w:kern w:val="2"/>
                <w:sz w:val="21"/>
                <w:szCs w:val="21"/>
                <w:lang w:val="en-US" w:eastAsia="zh-CN" w:bidi="ar"/>
              </w:rPr>
            </w:pPr>
            <w:r>
              <w:rPr>
                <w:rFonts w:hint="eastAsia" w:ascii="宋体" w:hAnsi="宋体" w:eastAsia="宋体" w:cs="宋体"/>
                <w:b/>
                <w:bCs w:val="0"/>
                <w:color w:val="000000"/>
                <w:kern w:val="2"/>
                <w:sz w:val="21"/>
                <w:szCs w:val="21"/>
                <w:lang w:val="en-US" w:eastAsia="zh-CN" w:bidi="ar"/>
              </w:rPr>
              <w:t>八、每股股利</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每股股利指上市公司本年发放的普通股现金股利总额与年末普通股总数的比值。其计算公式为：</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drawing>
                <wp:inline distT="0" distB="0" distL="114300" distR="114300">
                  <wp:extent cx="2247900" cy="568960"/>
                  <wp:effectExtent l="0" t="0" r="12700" b="15240"/>
                  <wp:docPr id="23" name="图片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 name="图片 23"/>
                          <pic:cNvPicPr>
                            <a:picLocks noChangeAspect="1"/>
                          </pic:cNvPicPr>
                        </pic:nvPicPr>
                        <pic:blipFill>
                          <a:blip r:embed="rId24"/>
                          <a:stretch>
                            <a:fillRect/>
                          </a:stretch>
                        </pic:blipFill>
                        <pic:spPr>
                          <a:xfrm>
                            <a:off x="0" y="0"/>
                            <a:ext cx="2247900" cy="568960"/>
                          </a:xfrm>
                          <a:prstGeom prst="rect">
                            <a:avLst/>
                          </a:prstGeom>
                          <a:noFill/>
                          <a:ln>
                            <a:noFill/>
                          </a:ln>
                        </pic:spPr>
                      </pic:pic>
                    </a:graphicData>
                  </a:graphic>
                </wp:inline>
              </w:drawing>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bCs w:val="0"/>
                <w:color w:val="000000"/>
                <w:kern w:val="2"/>
                <w:sz w:val="21"/>
                <w:szCs w:val="21"/>
                <w:lang w:val="en-US" w:eastAsia="zh-CN" w:bidi="ar"/>
              </w:rPr>
              <w:t>九、市盈率</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市盈率是指上市公司普通股每股市价相当于每股收益的倍数，反映投资者对上市公司每元净利润愿意支付的价格，该指标可以用来估计股票的投资报酬和风险。其计算公式为：</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bookmarkStart w:id="0" w:name="_GoBack"/>
            <w:r>
              <w:drawing>
                <wp:inline distT="0" distB="0" distL="114300" distR="114300">
                  <wp:extent cx="2850515" cy="793115"/>
                  <wp:effectExtent l="0" t="0" r="19685" b="19685"/>
                  <wp:docPr id="24" name="图片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 name="图片 24"/>
                          <pic:cNvPicPr>
                            <a:picLocks noChangeAspect="1"/>
                          </pic:cNvPicPr>
                        </pic:nvPicPr>
                        <pic:blipFill>
                          <a:blip r:embed="rId25"/>
                          <a:stretch>
                            <a:fillRect/>
                          </a:stretch>
                        </pic:blipFill>
                        <pic:spPr>
                          <a:xfrm>
                            <a:off x="0" y="0"/>
                            <a:ext cx="2850515" cy="793115"/>
                          </a:xfrm>
                          <a:prstGeom prst="rect">
                            <a:avLst/>
                          </a:prstGeom>
                          <a:noFill/>
                          <a:ln>
                            <a:noFill/>
                          </a:ln>
                        </pic:spPr>
                      </pic:pic>
                    </a:graphicData>
                  </a:graphic>
                </wp:inline>
              </w:drawing>
            </w:r>
            <w:bookmarkEnd w:id="0"/>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一般来说，市盈率高，说明投资者对该公司的发展前景越看好，越愿意出较高的价格购买该公司股票，但是，某一种股票的市盈率过高，则表示这种股票具有较高的投资风险。</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十、每股净资产</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每股净资产是上市公司年末净资产（即股东权益）与年末普通股总数的比值。其计算公式为：</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drawing>
                <wp:inline distT="0" distB="0" distL="114300" distR="114300">
                  <wp:extent cx="3093085" cy="766445"/>
                  <wp:effectExtent l="0" t="0" r="5715" b="20955"/>
                  <wp:docPr id="25" name="图片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 name="图片 25"/>
                          <pic:cNvPicPr>
                            <a:picLocks noChangeAspect="1"/>
                          </pic:cNvPicPr>
                        </pic:nvPicPr>
                        <pic:blipFill>
                          <a:blip r:embed="rId26"/>
                          <a:stretch>
                            <a:fillRect/>
                          </a:stretch>
                        </pic:blipFill>
                        <pic:spPr>
                          <a:xfrm>
                            <a:off x="0" y="0"/>
                            <a:ext cx="3093085" cy="766445"/>
                          </a:xfrm>
                          <a:prstGeom prst="rect">
                            <a:avLst/>
                          </a:prstGeom>
                          <a:noFill/>
                          <a:ln>
                            <a:noFill/>
                          </a:ln>
                        </pic:spPr>
                      </pic:pic>
                    </a:graphicData>
                  </a:graphic>
                </wp:inline>
              </w:drawing>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bCs w:val="0"/>
                <w:color w:val="000000"/>
                <w:kern w:val="2"/>
                <w:sz w:val="21"/>
                <w:szCs w:val="21"/>
                <w:lang w:val="en-US" w:eastAsia="zh-CN" w:bidi="ar"/>
              </w:rPr>
            </w:pPr>
            <w:r>
              <w:rPr>
                <w:rFonts w:hint="eastAsia" w:ascii="宋体" w:hAnsi="宋体" w:eastAsia="宋体" w:cs="宋体"/>
                <w:b/>
                <w:bCs w:val="0"/>
                <w:color w:val="000000"/>
                <w:kern w:val="2"/>
                <w:sz w:val="21"/>
                <w:szCs w:val="21"/>
                <w:lang w:val="en-US" w:eastAsia="zh-CN" w:bidi="ar"/>
              </w:rPr>
              <w:t>财务综合分析</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bCs w:val="0"/>
                <w:color w:val="000000"/>
                <w:kern w:val="2"/>
                <w:sz w:val="21"/>
                <w:szCs w:val="21"/>
                <w:lang w:val="en-US" w:eastAsia="zh-CN" w:bidi="ar"/>
              </w:rPr>
            </w:pPr>
            <w:r>
              <w:rPr>
                <w:rFonts w:hint="eastAsia" w:ascii="宋体" w:hAnsi="宋体" w:eastAsia="宋体" w:cs="宋体"/>
                <w:b/>
                <w:bCs w:val="0"/>
                <w:color w:val="000000"/>
                <w:kern w:val="2"/>
                <w:sz w:val="21"/>
                <w:szCs w:val="21"/>
                <w:lang w:val="en-US" w:eastAsia="zh-CN" w:bidi="ar"/>
              </w:rPr>
              <w:t>一、财务综合分析概述</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bCs w:val="0"/>
                <w:color w:val="000000"/>
                <w:kern w:val="2"/>
                <w:sz w:val="21"/>
                <w:szCs w:val="21"/>
                <w:lang w:val="en-US" w:eastAsia="zh-CN" w:bidi="ar"/>
              </w:rPr>
              <w:t>（一）财务综合分析的含义</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财务分析的最终目的在于全方位地了解企业的理财状况，并据此对企业经济效益的优劣做出系统、合理的评价。任何一项单独的财务指标，都难以全面评价企业的财务状况和经营成果，要对企业财务状况和经营成果进行综合评价，就必须进行相互关联的分析，采用适当的标准进行综合性的评价。所谓财务综合分析就是将营运能力、偿债能力和盈利能力等诸方面纳入一个有机的整体之中，全面地对企业经营状况、财务状况进行解剖和分析，从而对企业经济效益的优劣做出准确的评价与判断。</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bCs w:val="0"/>
                <w:color w:val="000000"/>
                <w:kern w:val="2"/>
                <w:sz w:val="21"/>
                <w:szCs w:val="21"/>
                <w:lang w:val="en-US" w:eastAsia="zh-CN" w:bidi="ar"/>
              </w:rPr>
            </w:pPr>
            <w:r>
              <w:rPr>
                <w:rFonts w:hint="eastAsia" w:ascii="宋体" w:hAnsi="宋体" w:eastAsia="宋体" w:cs="宋体"/>
                <w:b/>
                <w:bCs w:val="0"/>
                <w:color w:val="000000"/>
                <w:kern w:val="2"/>
                <w:sz w:val="21"/>
                <w:szCs w:val="21"/>
                <w:lang w:val="en-US" w:eastAsia="zh-CN" w:bidi="ar"/>
              </w:rPr>
              <w:t>（二）财务综合分析的原则</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由于企业内部经济活动和外部环境的复杂性，要成功把握企业总体的财务状况和经营成果，在进行综合分析时，要遵循一定的原则，具体包括以下几点。</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（1）综合性原则。即指标要素的综合性，要求设置的评价指标必须能够满足企业营运能力、盈利能力和偿债能力等各方面总体考核的要求。</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2）重要性原则。重要性原则要求在确定获利能力、偿债能力和营运能力等各方面评价的主要指标与辅助指标的同时，进一步明晰总体结构中各指标的主辅地位，即有些指标重要，有些指标次重要，从而构成一套主次分明的评价指标体系。</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（3）有用性原则。有用性原则要求指标体系必须能够提供多层次、多角度的信息资料，既能满足企业内部决策的需要，同时又能满足外部投资者和政府经济管理机构的信息需要。</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bCs w:val="0"/>
                <w:color w:val="000000"/>
                <w:kern w:val="2"/>
                <w:sz w:val="21"/>
                <w:szCs w:val="21"/>
                <w:lang w:val="en-US" w:eastAsia="zh-CN" w:bidi="ar"/>
              </w:rPr>
              <w:t>二、财务综合分析方法</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财务综合分析的方法很多，其中应用比较广泛的有杜邦财务分析体系和沃尔评分法。</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bCs w:val="0"/>
                <w:color w:val="000000"/>
                <w:kern w:val="2"/>
                <w:sz w:val="21"/>
                <w:szCs w:val="21"/>
                <w:lang w:val="en-US" w:eastAsia="zh-CN" w:bidi="ar"/>
              </w:rPr>
            </w:pPr>
            <w:r>
              <w:rPr>
                <w:rFonts w:hint="eastAsia" w:ascii="宋体" w:hAnsi="宋体" w:eastAsia="宋体" w:cs="宋体"/>
                <w:b/>
                <w:bCs w:val="0"/>
                <w:color w:val="000000"/>
                <w:kern w:val="2"/>
                <w:sz w:val="21"/>
                <w:szCs w:val="21"/>
                <w:lang w:val="en-US" w:eastAsia="zh-CN" w:bidi="ar"/>
              </w:rPr>
              <w:t>（一）杜邦财务分析体系</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杜邦财务分析体系（简称杜邦体系）是利用各财务指标间的内在关系，对企业综合经营理财及经济效益进行系统分析评价的方法。该方法最初由美国杜邦公司的经理创立并成功运用而得名。</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杜邦分析图中，包括以下几种主要的指标关系。</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1）权益报酬率（也称净值报酬率），是一个综合性最强的财务比率，是杜邦财务分析体系的核心。其他各项指标都是围绕这一核心指标，通过研究彼此之间的依存制约关系，而揭示企业的获利能力及前因后果。该指标的高低取决于资产净利率和权益乘数。</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（2）资产净利率也是一个非常重要的财务比率，综合性比较强。它是营业净利率和资产周转率的乘积，因此，要进一步从销售成果和资产营运两个方面进行分析。</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（3）营业净利率反映了企业净利润与营业收入的关系。提高营业净利率是提高企业盈利的关键，而提高这一比率有两个主要途径：一是扩大营业收入；二是降低成本费用。</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4）资产周转率揭示企业资产实现营业收入的综合能力。企业要结合营业收入分析企业资产的使用是否合理，流动资产和非流动资产的比例是否恰当。此外，还必须对资产的内部结构以及影响资产周转率的各项因素进行分析。</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5）权益乘数反映所有者权益同资产的关系，同时也能够反映企业负债程度，权益乘数越大，表明企业负债程度越高。在总资产需要量既定的前提下，企业适当负债经营，相对减少所有者份额，就可使权益乘数提高，这样能给企业带来较大的财务杠杆利益，但同时企业也需要承受较大的财务风险。因此，企业既要合理使用全部资产，又要妥善安排资金结构。</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杜邦分析体系的作用是解释指标变动的原因和变动趋势，为采取措施指明方向。</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bCs w:val="0"/>
                <w:color w:val="000000"/>
                <w:kern w:val="2"/>
                <w:sz w:val="21"/>
                <w:szCs w:val="21"/>
                <w:lang w:val="en-US" w:eastAsia="zh-CN" w:bidi="ar"/>
              </w:rPr>
            </w:pPr>
            <w:r>
              <w:rPr>
                <w:rFonts w:hint="eastAsia" w:ascii="宋体" w:hAnsi="宋体" w:eastAsia="宋体" w:cs="宋体"/>
                <w:b/>
                <w:bCs w:val="0"/>
                <w:color w:val="000000"/>
                <w:kern w:val="2"/>
                <w:sz w:val="21"/>
                <w:szCs w:val="21"/>
                <w:lang w:val="en-US" w:eastAsia="zh-CN" w:bidi="ar"/>
              </w:rPr>
              <w:t>（二）沃尔评分法</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财务状况综合评价的先驱者之一是亚历山大·沃尔。他在 20 世纪初出版的《信用晴雨表研究》和《财务报表比率分析》中提出了信用能力指数的概念，把若干个财务比率用线性关系结合起来，用来评价企业的信用水平。他首先选择了 7种财务比率，分别给定了其在总评价中所占的比重，总分为 100 分。然后确定标准比率，并与实际比率相比较，评出每项指标得分，最后求出总评分，并据以对企业财务活动进行综合分析评价。</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沃尔评分法有一个弱点，就是未能证明为什么要选择这 7 个指标，而不是更多或更少，或者其他的财务比率，也未能证明每个指标所占比率的合理性。这个问题至今仍然没有从理论上解决，但是该方法在实践中的应用被证明是行之有效的。</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bCs w:val="0"/>
                <w:color w:val="000000"/>
                <w:kern w:val="2"/>
                <w:sz w:val="21"/>
                <w:szCs w:val="21"/>
                <w:lang w:val="en-US" w:eastAsia="zh-CN" w:bidi="ar"/>
              </w:rPr>
            </w:pPr>
            <w:r>
              <w:rPr>
                <w:rFonts w:hint="eastAsia" w:ascii="宋体" w:hAnsi="宋体" w:eastAsia="宋体" w:cs="宋体"/>
                <w:b/>
                <w:bCs w:val="0"/>
                <w:color w:val="000000"/>
                <w:kern w:val="2"/>
                <w:sz w:val="21"/>
                <w:szCs w:val="21"/>
                <w:lang w:val="en-US" w:eastAsia="zh-CN" w:bidi="ar"/>
              </w:rPr>
              <w:t>（三）综合评价方法</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现代社会与沃尔所在的时代相比，已经有了很大变化。因此对沃尔评分法进行适当的改进是必要的。一般认为企业财务评价的内容首先是盈利能力，其次是偿债能力，此外还有成长能力。它们之间大致可以按 5 : 3 : 2 的比例来分配权重。</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盈利能力的主要指标是资产净利率、销售净利率和净值报酬率。虽然净值报酬率很重要，但前两个指标已经分别使用了净资产和净利润，为减少重复影响，这三个指标可按 2 : 2 : 1 来安排。偿债能力有 4 个常用指标，成长能力有 3 个常用指标（都是本年增量与上年实际的比值）。如果仍以 100 分为总评分，则评分的分配标准如表 10-5 所示。</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drawing>
                <wp:inline distT="0" distB="0" distL="114300" distR="114300">
                  <wp:extent cx="2397760" cy="1277620"/>
                  <wp:effectExtent l="0" t="0" r="15240" b="17780"/>
                  <wp:docPr id="26" name="图片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 name="图片 26"/>
                          <pic:cNvPicPr>
                            <a:picLocks noChangeAspect="1"/>
                          </pic:cNvPicPr>
                        </pic:nvPicPr>
                        <pic:blipFill>
                          <a:blip r:embed="rId27"/>
                          <a:stretch>
                            <a:fillRect/>
                          </a:stretch>
                        </pic:blipFill>
                        <pic:spPr>
                          <a:xfrm>
                            <a:off x="0" y="0"/>
                            <a:ext cx="2397760" cy="1277620"/>
                          </a:xfrm>
                          <a:prstGeom prst="rect">
                            <a:avLst/>
                          </a:prstGeom>
                          <a:noFill/>
                          <a:ln>
                            <a:noFill/>
                          </a:ln>
                        </pic:spPr>
                      </pic:pic>
                    </a:graphicData>
                  </a:graphic>
                </wp:inline>
              </w:drawing>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bCs w:val="0"/>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标准比率应以本行业平均数为基准，适当进行理论修正。每个指标进行评分时，应设定上限和下限，以减少个别指标异常对总分造成不合理的影响。上限可设定为正常评分值的 1.5 倍，下限设定为正常评分值的 0.5 倍。此外，给分时不采用“乘”的关系，而采用“加”或“减”的关系来处理，以克服沃尔评分法的缺点。例如，总资产净利率的标准值为 10%，标准评分为 20 分；行业最高比率为20%，最高评分为 30 分，则每分的财务比率差为 1%［（20%-10%）÷（30 分 -20分）］。总资产净利率每提高 1%，多给 1 分，但该项得分不得超过 30 分。</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jc w:val="both"/>
              <w:textAlignment w:val="auto"/>
              <w:rPr>
                <w:rFonts w:hint="default" w:ascii="Times New Roman" w:hAnsi="Times New Roman"/>
                <w:szCs w:val="24"/>
              </w:rPr>
            </w:pPr>
            <w:r>
              <w:rPr>
                <w:rFonts w:hint="eastAsia" w:ascii="宋体" w:hAnsi="宋体" w:eastAsia="宋体" w:cs="宋体"/>
                <w:b/>
                <w:bCs/>
                <w:color w:val="538135"/>
                <w:kern w:val="2"/>
                <w:sz w:val="21"/>
                <w:szCs w:val="21"/>
                <w:lang w:val="en-US" w:eastAsia="zh-CN" w:bidi="ar"/>
              </w:rPr>
              <w:t>【学生】</w:t>
            </w:r>
            <w:r>
              <w:rPr>
                <w:rFonts w:hint="eastAsia" w:ascii="宋体" w:hAnsi="宋体" w:eastAsia="宋体" w:cs="宋体"/>
                <w:color w:val="538135"/>
                <w:kern w:val="2"/>
                <w:sz w:val="21"/>
                <w:szCs w:val="21"/>
                <w:lang w:val="en-US" w:eastAsia="zh-CN" w:bidi="ar"/>
              </w:rPr>
              <w:t>思考、讨论。</w:t>
            </w:r>
          </w:p>
        </w:tc>
        <w:tc>
          <w:tcPr>
            <w:tcW w:w="1366" w:type="dxa"/>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0" w:right="0"/>
              <w:jc w:val="left"/>
              <w:textAlignment w:val="auto"/>
              <w:rPr>
                <w:rFonts w:hint="default" w:ascii="Times New Roman" w:hAnsi="Times New Roman"/>
                <w:b/>
                <w:szCs w:val="24"/>
              </w:rPr>
            </w:pPr>
            <w:r>
              <w:rPr>
                <w:rFonts w:hint="eastAsia" w:ascii="Times New Roman" w:hAnsi="Times New Roman"/>
                <w:b/>
                <w:szCs w:val="24"/>
              </w:rPr>
              <w:t>通过教师讲解，了解盈利能力分析和财务综合分析的基本理论知识。</w:t>
            </w:r>
          </w:p>
        </w:tc>
      </w:tr>
      <w:tr>
        <w:trPr>
          <w:trHeight w:val="90" w:hRule="atLeast"/>
          <w:jc w:val="center"/>
        </w:trPr>
        <w:tc>
          <w:tcPr>
            <w:tcW w:w="1276" w:type="dxa"/>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ind w:left="0" w:right="0"/>
              <w:jc w:val="both"/>
              <w:textAlignment w:val="auto"/>
              <w:rPr>
                <w:rFonts w:hint="eastAsia" w:ascii="微软雅黑" w:hAnsi="微软雅黑" w:eastAsia="微软雅黑" w:cs="Times New Roman"/>
                <w:b/>
                <w:bCs w:val="0"/>
                <w:kern w:val="2"/>
                <w:sz w:val="24"/>
                <w:szCs w:val="24"/>
              </w:rPr>
            </w:pPr>
            <w:r>
              <w:rPr>
                <w:rFonts w:hint="eastAsia" w:ascii="微软雅黑" w:hAnsi="微软雅黑" w:eastAsia="微软雅黑" w:cs="微软雅黑"/>
                <w:b/>
                <w:bCs w:val="0"/>
                <w:kern w:val="2"/>
                <w:sz w:val="24"/>
                <w:szCs w:val="24"/>
                <w:lang w:val="en-US" w:eastAsia="zh-CN" w:bidi="ar"/>
              </w:rPr>
              <w:t>课堂小结</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ind w:left="0" w:leftChars="0" w:right="0" w:rightChars="0"/>
              <w:jc w:val="both"/>
              <w:textAlignment w:val="auto"/>
              <w:rPr>
                <w:rFonts w:hint="eastAsia" w:ascii="Times New Roman" w:hAnsi="Times New Roman" w:eastAsia="宋体" w:cs="Times New Roman"/>
                <w:kern w:val="2"/>
                <w:sz w:val="21"/>
                <w:szCs w:val="21"/>
                <w:lang w:val="en-US" w:eastAsia="zh-CN" w:bidi="ar-SA"/>
              </w:rPr>
            </w:pPr>
            <w:r>
              <w:rPr>
                <w:rFonts w:hint="eastAsia" w:ascii="宋体" w:hAnsi="宋体" w:eastAsia="宋体" w:cs="宋体"/>
                <w:kern w:val="2"/>
                <w:sz w:val="21"/>
                <w:szCs w:val="21"/>
                <w:lang w:val="en-US" w:eastAsia="zh-CN" w:bidi="ar"/>
              </w:rPr>
              <w:t>（</w:t>
            </w:r>
            <w:r>
              <w:rPr>
                <w:rFonts w:hint="eastAsia" w:ascii="Times New Roman" w:hAnsi="Times New Roman" w:cs="Times New Roman"/>
                <w:kern w:val="2"/>
                <w:sz w:val="21"/>
                <w:szCs w:val="21"/>
                <w:lang w:val="en-US" w:eastAsia="zh-CN" w:bidi="ar"/>
              </w:rPr>
              <w:t>3</w:t>
            </w:r>
            <w:r>
              <w:rPr>
                <w:rFonts w:hint="default" w:ascii="Times New Roman" w:hAnsi="Times New Roman" w:eastAsia="宋体" w:cs="Times New Roman"/>
                <w:kern w:val="2"/>
                <w:sz w:val="21"/>
                <w:szCs w:val="21"/>
                <w:lang w:val="en-US" w:eastAsia="zh-CN" w:bidi="ar"/>
              </w:rPr>
              <w:t>min</w:t>
            </w:r>
            <w:r>
              <w:rPr>
                <w:rFonts w:hint="eastAsia" w:ascii="宋体" w:hAnsi="宋体" w:eastAsia="宋体" w:cs="宋体"/>
                <w:kern w:val="2"/>
                <w:sz w:val="21"/>
                <w:szCs w:val="21"/>
                <w:lang w:val="en-US" w:eastAsia="zh-CN" w:bidi="ar"/>
              </w:rPr>
              <w:t>）</w:t>
            </w:r>
          </w:p>
        </w:tc>
        <w:tc>
          <w:tcPr>
            <w:tcW w:w="5807" w:type="dxa"/>
            <w:tcBorders>
              <w:top w:val="single" w:color="auto" w:sz="4" w:space="0"/>
              <w:left w:val="single" w:color="auto" w:sz="4" w:space="0"/>
              <w:bottom w:val="double" w:color="auto" w:sz="4" w:space="0"/>
              <w:right w:val="single" w:color="auto" w:sz="4" w:space="0"/>
            </w:tcBorders>
            <w:vAlign w:val="center"/>
          </w:tcPr>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jc w:val="both"/>
              <w:textAlignment w:val="auto"/>
              <w:rPr>
                <w:rFonts w:hint="default" w:ascii="Times New Roman" w:hAnsi="Times New Roman" w:eastAsia="宋体" w:cs="Times New Roman"/>
                <w:kern w:val="2"/>
                <w:sz w:val="21"/>
                <w:szCs w:val="21"/>
              </w:rPr>
            </w:pPr>
            <w:r>
              <w:rPr>
                <w:rFonts w:hint="eastAsia" w:ascii="宋体" w:hAnsi="宋体" w:eastAsia="宋体" w:cs="宋体"/>
                <w:kern w:val="2"/>
                <w:sz w:val="21"/>
                <w:szCs w:val="21"/>
                <w:lang w:val="en-US" w:eastAsia="zh-CN" w:bidi="ar"/>
              </w:rPr>
              <w:t>【</w:t>
            </w:r>
            <w:r>
              <w:rPr>
                <w:rFonts w:hint="eastAsia" w:ascii="宋体" w:hAnsi="宋体" w:eastAsia="宋体" w:cs="宋体"/>
                <w:b/>
                <w:bCs w:val="0"/>
                <w:kern w:val="2"/>
                <w:sz w:val="21"/>
                <w:szCs w:val="21"/>
                <w:lang w:val="en-US" w:eastAsia="zh-CN" w:bidi="ar"/>
              </w:rPr>
              <w:t>教师</w:t>
            </w:r>
            <w:r>
              <w:rPr>
                <w:rFonts w:hint="eastAsia" w:ascii="宋体" w:hAnsi="宋体" w:eastAsia="宋体" w:cs="宋体"/>
                <w:kern w:val="2"/>
                <w:sz w:val="21"/>
                <w:szCs w:val="21"/>
                <w:lang w:val="en-US" w:eastAsia="zh-CN" w:bidi="ar"/>
              </w:rPr>
              <w:t>】</w:t>
            </w:r>
            <w:r>
              <w:rPr>
                <w:rFonts w:hint="eastAsia" w:ascii="宋体" w:hAnsi="宋体" w:eastAsia="宋体" w:cs="宋体"/>
                <w:b/>
                <w:bCs w:val="0"/>
                <w:color w:val="CC0066"/>
                <w:kern w:val="2"/>
                <w:sz w:val="21"/>
                <w:szCs w:val="21"/>
                <w:lang w:val="en-US" w:eastAsia="zh-CN" w:bidi="ar"/>
              </w:rPr>
              <w:t>回顾和总结本节课的知识点。</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leftChars="0" w:right="0" w:rightChars="0" w:firstLine="420" w:firstLineChars="200"/>
              <w:jc w:val="both"/>
              <w:textAlignment w:val="auto"/>
              <w:rPr>
                <w:rFonts w:hint="eastAsia" w:ascii="Times New Roman" w:hAnsi="Times New Roman" w:eastAsia="宋体" w:cs="Times New Roman"/>
                <w:b/>
                <w:bCs w:val="0"/>
                <w:kern w:val="2"/>
                <w:sz w:val="21"/>
                <w:szCs w:val="21"/>
                <w:lang w:val="en-US" w:eastAsia="zh-CN" w:bidi="ar-SA"/>
              </w:rPr>
            </w:pPr>
            <w:r>
              <w:rPr>
                <w:rFonts w:hint="eastAsia" w:ascii="宋体" w:hAnsi="宋体" w:eastAsia="宋体" w:cs="宋体"/>
                <w:b/>
                <w:bCs w:val="0"/>
                <w:kern w:val="2"/>
                <w:sz w:val="21"/>
                <w:szCs w:val="21"/>
                <w:lang w:val="en-US" w:eastAsia="zh-CN" w:bidi="ar"/>
              </w:rPr>
              <w:t>这节课我们一起学习了</w:t>
            </w:r>
            <w:r>
              <w:rPr>
                <w:rFonts w:hint="eastAsia" w:ascii="宋体" w:hAnsi="宋体" w:eastAsia="宋体" w:cs="宋体"/>
                <w:b/>
                <w:bCs w:val="0"/>
                <w:kern w:val="0"/>
                <w:sz w:val="21"/>
                <w:szCs w:val="21"/>
                <w:lang w:val="en-US" w:eastAsia="zh-CN" w:bidi="ar"/>
              </w:rPr>
              <w:t>盈利能力分析和财务综合分析</w:t>
            </w:r>
            <w:r>
              <w:rPr>
                <w:rFonts w:hint="eastAsia" w:ascii="宋体" w:hAnsi="宋体" w:cs="宋体"/>
                <w:b/>
                <w:bCs w:val="0"/>
                <w:kern w:val="0"/>
                <w:sz w:val="21"/>
                <w:szCs w:val="21"/>
                <w:lang w:val="en-US" w:eastAsia="zh-CN" w:bidi="ar"/>
              </w:rPr>
              <w:t>，让学生知道般认为企业财务评价的内容首先是盈利能力，其次是偿债能力，此外还有成长能力。</w:t>
            </w:r>
          </w:p>
        </w:tc>
        <w:tc>
          <w:tcPr>
            <w:tcW w:w="1366" w:type="dxa"/>
            <w:tcBorders>
              <w:top w:val="single" w:color="auto" w:sz="4" w:space="0"/>
              <w:left w:val="single" w:color="auto" w:sz="4" w:space="0"/>
              <w:bottom w:val="double" w:color="auto" w:sz="4" w:space="0"/>
              <w:right w:val="single" w:color="auto" w:sz="4" w:space="0"/>
            </w:tcBorders>
            <w:vAlign w:val="center"/>
          </w:tcPr>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380" w:lineRule="exact"/>
              <w:ind w:left="0" w:leftChars="0" w:right="0" w:rightChars="0"/>
              <w:jc w:val="both"/>
              <w:textAlignment w:val="auto"/>
              <w:rPr>
                <w:rFonts w:hint="eastAsia" w:ascii="Times New Roman" w:hAnsi="Times New Roman" w:eastAsia="宋体" w:cs="Times New Roman"/>
                <w:kern w:val="2"/>
                <w:sz w:val="21"/>
                <w:szCs w:val="21"/>
                <w:lang w:val="en-US" w:eastAsia="zh-CN" w:bidi="ar-SA"/>
              </w:rPr>
            </w:pPr>
            <w:r>
              <w:rPr>
                <w:rFonts w:hint="eastAsia" w:ascii="宋体" w:hAnsi="宋体" w:eastAsia="宋体" w:cs="宋体"/>
                <w:kern w:val="2"/>
                <w:sz w:val="21"/>
                <w:szCs w:val="21"/>
                <w:lang w:val="en-US" w:eastAsia="zh-CN" w:bidi="ar"/>
              </w:rPr>
              <w:t>通过对所学知识的回顾，培养学生的归纳总结能力</w:t>
            </w:r>
          </w:p>
        </w:tc>
      </w:tr>
      <w:tr>
        <w:trPr>
          <w:trHeight w:val="1531" w:hRule="atLeast"/>
          <w:jc w:val="center"/>
        </w:trPr>
        <w:tc>
          <w:tcPr>
            <w:tcW w:w="1276" w:type="dxa"/>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8" w:leftChars="0" w:right="0" w:rightChars="0" w:hanging="8" w:firstLineChars="0"/>
              <w:jc w:val="both"/>
              <w:textAlignment w:val="auto"/>
              <w:rPr>
                <w:rFonts w:hint="eastAsia" w:ascii="Times New Roman" w:hAnsi="Times New Roman" w:eastAsia="宋体" w:cs="Times New Roman"/>
                <w:kern w:val="2"/>
                <w:sz w:val="21"/>
                <w:szCs w:val="21"/>
                <w:lang w:val="en-US" w:eastAsia="zh-CN" w:bidi="ar-SA"/>
              </w:rPr>
            </w:pPr>
            <w:r>
              <w:rPr>
                <w:rFonts w:hint="eastAsia" w:ascii="微软雅黑" w:hAnsi="微软雅黑" w:eastAsia="微软雅黑" w:cs="微软雅黑"/>
                <w:b/>
                <w:bCs w:val="0"/>
                <w:kern w:val="2"/>
                <w:sz w:val="24"/>
                <w:szCs w:val="24"/>
                <w:lang w:val="en-US" w:eastAsia="zh-CN" w:bidi="ar"/>
              </w:rPr>
              <w:t>作业布置</w:t>
            </w:r>
            <w:r>
              <w:rPr>
                <w:rFonts w:hint="eastAsia" w:ascii="宋体" w:hAnsi="宋体" w:eastAsia="宋体" w:cs="宋体"/>
                <w:b w:val="0"/>
                <w:bCs w:val="0"/>
                <w:kern w:val="2"/>
                <w:sz w:val="21"/>
                <w:szCs w:val="21"/>
                <w:lang w:val="en-US" w:eastAsia="zh-CN" w:bidi="ar"/>
              </w:rPr>
              <w:t>（</w:t>
            </w:r>
            <w:r>
              <w:rPr>
                <w:rFonts w:hint="eastAsia" w:ascii="Times New Roman" w:hAnsi="Times New Roman" w:cs="Times New Roman"/>
                <w:b w:val="0"/>
                <w:bCs w:val="0"/>
                <w:kern w:val="2"/>
                <w:sz w:val="21"/>
                <w:szCs w:val="21"/>
                <w:lang w:val="en-US" w:eastAsia="zh-CN" w:bidi="ar"/>
              </w:rPr>
              <w:t>2</w:t>
            </w:r>
            <w:r>
              <w:rPr>
                <w:rFonts w:hint="default" w:ascii="Times New Roman" w:hAnsi="Times New Roman" w:eastAsia="宋体" w:cs="Times New Roman"/>
                <w:b w:val="0"/>
                <w:bCs w:val="0"/>
                <w:kern w:val="2"/>
                <w:sz w:val="21"/>
                <w:szCs w:val="21"/>
                <w:lang w:val="en-US" w:eastAsia="zh-CN" w:bidi="ar"/>
              </w:rPr>
              <w:t>min</w:t>
            </w:r>
            <w:r>
              <w:rPr>
                <w:rFonts w:hint="eastAsia" w:ascii="宋体" w:hAnsi="宋体" w:eastAsia="宋体" w:cs="宋体"/>
                <w:b w:val="0"/>
                <w:bCs w:val="0"/>
                <w:kern w:val="2"/>
                <w:sz w:val="21"/>
                <w:szCs w:val="21"/>
                <w:lang w:val="en-US" w:eastAsia="zh-CN" w:bidi="ar"/>
              </w:rPr>
              <w:t>）</w:t>
            </w:r>
          </w:p>
        </w:tc>
        <w:tc>
          <w:tcPr>
            <w:tcW w:w="5807" w:type="dxa"/>
            <w:tcBorders>
              <w:top w:val="single" w:color="auto" w:sz="4" w:space="0"/>
              <w:left w:val="single" w:color="auto" w:sz="4" w:space="0"/>
              <w:bottom w:val="double" w:color="auto" w:sz="4" w:space="0"/>
              <w:right w:val="single" w:color="auto" w:sz="4" w:space="0"/>
            </w:tcBorders>
            <w:vAlign w:val="center"/>
          </w:tcPr>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jc w:val="both"/>
              <w:textAlignment w:val="auto"/>
              <w:rPr>
                <w:rFonts w:hint="eastAsia" w:ascii="宋体" w:hAnsi="宋体" w:eastAsia="宋体" w:cs="宋体"/>
                <w:b w:val="0"/>
                <w:bCs/>
                <w:color w:val="C00000"/>
                <w:kern w:val="2"/>
                <w:sz w:val="21"/>
                <w:szCs w:val="21"/>
              </w:rPr>
            </w:pPr>
            <w:r>
              <w:rPr>
                <w:rFonts w:hint="eastAsia" w:ascii="宋体" w:hAnsi="宋体" w:eastAsia="宋体" w:cs="宋体"/>
                <w:b/>
                <w:bCs w:val="0"/>
                <w:color w:val="C00000"/>
                <w:kern w:val="2"/>
                <w:sz w:val="21"/>
                <w:szCs w:val="21"/>
                <w:lang w:val="en-US" w:eastAsia="zh-CN" w:bidi="ar"/>
              </w:rPr>
              <w:t>【教师】</w:t>
            </w:r>
            <w:r>
              <w:rPr>
                <w:rFonts w:hint="eastAsia" w:ascii="宋体" w:hAnsi="宋体" w:eastAsia="宋体" w:cs="宋体"/>
                <w:b w:val="0"/>
                <w:bCs/>
                <w:color w:val="C00000"/>
                <w:kern w:val="2"/>
                <w:sz w:val="21"/>
                <w:szCs w:val="21"/>
                <w:lang w:val="en-US" w:eastAsia="zh-CN" w:bidi="ar"/>
              </w:rPr>
              <w:t>布置课后作业</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leftChars="0" w:right="0" w:rightChars="0" w:firstLine="420" w:firstLineChars="200"/>
              <w:jc w:val="both"/>
              <w:textAlignment w:val="auto"/>
              <w:rPr>
                <w:rFonts w:hint="eastAsia" w:ascii="Calibri" w:hAnsi="宋体" w:eastAsia="宋体" w:cs="Times New Roman"/>
                <w:bCs/>
                <w:kern w:val="2"/>
                <w:sz w:val="21"/>
                <w:szCs w:val="21"/>
                <w:lang w:val="en-US" w:eastAsia="zh-CN" w:bidi="ar-SA"/>
              </w:rPr>
            </w:pPr>
            <w:r>
              <w:rPr>
                <w:rFonts w:hint="eastAsia" w:ascii="宋体" w:hAnsi="宋体" w:cs="宋体"/>
                <w:bCs/>
                <w:kern w:val="2"/>
                <w:sz w:val="21"/>
                <w:szCs w:val="21"/>
                <w:lang w:val="en-US" w:eastAsia="zh-CN" w:bidi="ar"/>
              </w:rPr>
              <w:t>简述综合评价方法。</w:t>
            </w:r>
          </w:p>
        </w:tc>
        <w:tc>
          <w:tcPr>
            <w:tcW w:w="1366" w:type="dxa"/>
            <w:tcBorders>
              <w:top w:val="single" w:color="auto" w:sz="4" w:space="0"/>
              <w:left w:val="single" w:color="auto" w:sz="4" w:space="0"/>
              <w:bottom w:val="double" w:color="auto" w:sz="4" w:space="0"/>
              <w:right w:val="single" w:color="auto" w:sz="4" w:space="0"/>
            </w:tcBorders>
            <w:vAlign w:val="center"/>
          </w:tcPr>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0" w:leftChars="0" w:right="0" w:rightChars="0"/>
              <w:jc w:val="left"/>
              <w:textAlignment w:val="auto"/>
              <w:rPr>
                <w:rFonts w:hint="eastAsia" w:ascii="Times New Roman" w:hAnsi="Times New Roman" w:eastAsia="宋体" w:cs="Times New Roman"/>
                <w:b/>
                <w:bCs w:val="0"/>
                <w:kern w:val="2"/>
                <w:sz w:val="21"/>
                <w:szCs w:val="21"/>
                <w:lang w:val="en-US" w:eastAsia="zh-CN" w:bidi="ar-SA"/>
              </w:rPr>
            </w:pPr>
            <w:r>
              <w:rPr>
                <w:rFonts w:hint="eastAsia" w:ascii="宋体" w:hAnsi="宋体" w:eastAsia="宋体" w:cs="宋体"/>
                <w:b w:val="0"/>
                <w:bCs/>
                <w:kern w:val="2"/>
                <w:sz w:val="21"/>
                <w:szCs w:val="21"/>
                <w:lang w:val="en-US" w:eastAsia="zh-CN" w:bidi="ar"/>
              </w:rPr>
              <w:t>通过课后练习，使学生巩固所学新知识</w:t>
            </w:r>
          </w:p>
        </w:tc>
      </w:tr>
      <w:tr>
        <w:trPr>
          <w:trHeight w:val="974" w:hRule="atLeast"/>
          <w:jc w:val="center"/>
        </w:trPr>
        <w:tc>
          <w:tcPr>
            <w:tcW w:w="1276" w:type="dxa"/>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ind w:left="0" w:right="0"/>
              <w:textAlignment w:val="auto"/>
              <w:rPr>
                <w:rFonts w:hint="default" w:ascii="微软雅黑" w:hAnsi="微软雅黑" w:eastAsia="微软雅黑"/>
                <w:b/>
                <w:sz w:val="24"/>
                <w:szCs w:val="24"/>
              </w:rPr>
            </w:pPr>
            <w:r>
              <w:rPr>
                <w:rFonts w:hint="eastAsia" w:ascii="微软雅黑" w:hAnsi="微软雅黑" w:eastAsia="微软雅黑"/>
                <w:b/>
                <w:sz w:val="24"/>
                <w:szCs w:val="24"/>
              </w:rPr>
              <w:t>教学反思</w:t>
            </w:r>
          </w:p>
        </w:tc>
        <w:tc>
          <w:tcPr>
            <w:tcW w:w="7173" w:type="dxa"/>
            <w:gridSpan w:val="2"/>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380" w:lineRule="exact"/>
              <w:ind w:left="0" w:right="0"/>
              <w:textAlignment w:val="auto"/>
              <w:rPr>
                <w:rFonts w:hint="default" w:ascii="Times New Roman" w:hAnsi="Times New Roman"/>
              </w:rPr>
            </w:pPr>
            <w:r>
              <w:rPr>
                <w:rFonts w:hint="default" w:ascii="Times New Roman" w:hAnsi="Times New Roman"/>
              </w:rPr>
              <w:t>课堂教学导入是一种技能，是指教师在课堂教学中处理导入这一教学环节时，利用各种教学媒体，创设学习情境，激发学生学习兴趣，启迪学生思维，集中学生注意力，使其主动学习新知的教学行为方式。</w:t>
            </w:r>
          </w:p>
        </w:tc>
      </w:tr>
    </w:tbl>
    <w:p/>
    <w:sectPr>
      <w:pgSz w:w="11906" w:h="16838"/>
      <w:pgMar w:top="1440" w:right="1800" w:bottom="1440" w:left="1800" w:header="851" w:footer="992" w:gutter="0"/>
      <w:pgBorders>
        <w:top w:val="none" w:sz="0" w:space="0"/>
        <w:left w:val="none" w:sz="0" w:space="0"/>
        <w:bottom w:val="none" w:sz="0" w:space="0"/>
        <w:right w:val="none" w:sz="0" w:space="0"/>
      </w:pgBorders>
      <w:cols w:space="425" w:num="1"/>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altName w:val="汉仪书宋二KW"/>
    <w:panose1 w:val="00000000000000000000"/>
    <w:charset w:val="86"/>
    <w:family w:val="auto"/>
    <w:pitch w:val="default"/>
    <w:sig w:usb0="00000000" w:usb1="00000000" w:usb2="00000000" w:usb3="00000000" w:csb0="00000000" w:csb1="00000000"/>
  </w:font>
  <w:font w:name="Wingdings">
    <w:panose1 w:val="05000000000000000000"/>
    <w:charset w:val="02"/>
    <w:family w:val="auto"/>
    <w:pitch w:val="default"/>
    <w:sig w:usb0="00000000" w:usb1="00000000" w:usb2="00000000" w:usb3="00000000" w:csb0="80000000" w:csb1="00000000"/>
  </w:font>
  <w:font w:name="Arial">
    <w:panose1 w:val="020B0604020202090204"/>
    <w:charset w:val="01"/>
    <w:family w:val="swiss"/>
    <w:pitch w:val="default"/>
    <w:sig w:usb0="E0000AFF" w:usb1="00007843" w:usb2="00000001" w:usb3="00000000" w:csb0="400001BF" w:csb1="DFF70000"/>
  </w:font>
  <w:font w:name="黑体">
    <w:altName w:val="汉仪中黑KW"/>
    <w:panose1 w:val="02010609060101010101"/>
    <w:charset w:val="86"/>
    <w:family w:val="auto"/>
    <w:pitch w:val="default"/>
    <w:sig w:usb0="800002BF" w:usb1="38CF7CFA" w:usb2="00000016" w:usb3="00000000" w:csb0="00040001" w:csb1="00000000"/>
  </w:font>
  <w:font w:name="Courier New">
    <w:panose1 w:val="02070409020205090404"/>
    <w:charset w:val="01"/>
    <w:family w:val="modern"/>
    <w:pitch w:val="default"/>
    <w:sig w:usb0="E0000AFF" w:usb1="40007843" w:usb2="00000001" w:usb3="00000000" w:csb0="400001BF" w:csb1="DFF70000"/>
  </w:font>
  <w:font w:name="Symbol">
    <w:altName w:val="Kingsoft Sign"/>
    <w:panose1 w:val="05050102010706020507"/>
    <w:charset w:val="02"/>
    <w:family w:val="roman"/>
    <w:pitch w:val="default"/>
    <w:sig w:usb0="00000000" w:usb1="00000000" w:usb2="00000000" w:usb3="00000000" w:csb0="80000000" w:csb1="00000000"/>
  </w:font>
  <w:font w:name="Calibri">
    <w:altName w:val="Helvetica Neue"/>
    <w:panose1 w:val="020F0502020204030204"/>
    <w:charset w:val="00"/>
    <w:family w:val="swiss"/>
    <w:pitch w:val="default"/>
    <w:sig w:usb0="00000000" w:usb1="00000000" w:usb2="00000001" w:usb3="00000000" w:csb0="0000019F" w:csb1="00000000"/>
  </w:font>
  <w:font w:name="方正宋黑_GBK">
    <w:altName w:val="汉仪书宋二KW"/>
    <w:panose1 w:val="03000509000000000000"/>
    <w:charset w:val="86"/>
    <w:family w:val="script"/>
    <w:pitch w:val="default"/>
    <w:sig w:usb0="00000000" w:usb1="00000000" w:usb2="00000010" w:usb3="00000000" w:csb0="00040000" w:csb1="00000000"/>
  </w:font>
  <w:font w:name="Calibri Light">
    <w:altName w:val="Helvetica Neue"/>
    <w:panose1 w:val="020F0302020204030204"/>
    <w:charset w:val="00"/>
    <w:family w:val="swiss"/>
    <w:pitch w:val="default"/>
    <w:sig w:usb0="00000000" w:usb1="00000000" w:usb2="00000009" w:usb3="00000000" w:csb0="000001FF" w:csb1="00000000"/>
  </w:font>
  <w:font w:name="仿宋_GB2312">
    <w:altName w:val="方正仿宋_GBK"/>
    <w:panose1 w:val="02010609030101010101"/>
    <w:charset w:val="86"/>
    <w:family w:val="modern"/>
    <w:pitch w:val="default"/>
    <w:sig w:usb0="00000000" w:usb1="00000000" w:usb2="00000000" w:usb3="00000000" w:csb0="00040000" w:csb1="00000000"/>
  </w:font>
  <w:font w:name="PinYinok">
    <w:altName w:val="苹方-简"/>
    <w:panose1 w:val="020B0603050302020204"/>
    <w:charset w:val="00"/>
    <w:family w:val="swiss"/>
    <w:pitch w:val="default"/>
    <w:sig w:usb0="00000000" w:usb1="00000000" w:usb2="00000000" w:usb3="00000000" w:csb0="00000001" w:csb1="00000000"/>
  </w:font>
  <w:font w:name="微软雅黑">
    <w:altName w:val="汉仪旗黑"/>
    <w:panose1 w:val="020B0503020204020204"/>
    <w:charset w:val="86"/>
    <w:family w:val="swiss"/>
    <w:pitch w:val="default"/>
    <w:sig w:usb0="00000000" w:usb1="00000000" w:usb2="00000016" w:usb3="00000000" w:csb0="0004001F" w:csb1="00000000"/>
  </w:font>
  <w:font w:name="汉仪书宋二KW">
    <w:panose1 w:val="00020600040101010101"/>
    <w:charset w:val="86"/>
    <w:family w:val="auto"/>
    <w:pitch w:val="default"/>
    <w:sig w:usb0="A00002BF" w:usb1="18EF7CFA" w:usb2="00000016" w:usb3="00000000" w:csb0="00040000" w:csb1="00000000"/>
  </w:font>
  <w:font w:name="Helvetica Neue">
    <w:panose1 w:val="02000503000000020004"/>
    <w:charset w:val="00"/>
    <w:family w:val="auto"/>
    <w:pitch w:val="default"/>
    <w:sig w:usb0="E50002FF" w:usb1="500079DB" w:usb2="00000010" w:usb3="00000000" w:csb0="00000000" w:csb1="00000000"/>
  </w:font>
  <w:font w:name="汉仪旗黑">
    <w:panose1 w:val="00020600040101010101"/>
    <w:charset w:val="86"/>
    <w:family w:val="auto"/>
    <w:pitch w:val="default"/>
    <w:sig w:usb0="A00002BF" w:usb1="1ACF7CFA" w:usb2="00000016" w:usb3="00000000" w:csb0="0004009F" w:csb1="DFD70000"/>
  </w:font>
  <w:font w:name="汉仪中黑KW">
    <w:panose1 w:val="00020600040101010101"/>
    <w:charset w:val="86"/>
    <w:family w:val="auto"/>
    <w:pitch w:val="default"/>
    <w:sig w:usb0="A00002BF" w:usb1="18EF7CFA" w:usb2="00000016" w:usb3="00000000" w:csb0="00040000" w:csb1="00000000"/>
  </w:font>
  <w:font w:name="Kingsoft Sign">
    <w:panose1 w:val="05050102010706020507"/>
    <w:charset w:val="00"/>
    <w:family w:val="auto"/>
    <w:pitch w:val="default"/>
    <w:sig w:usb0="00000000" w:usb1="10000000" w:usb2="00000000" w:usb3="00000000" w:csb0="00000001" w:csb1="00000000"/>
  </w:font>
  <w:font w:name="方正仿宋_GBK">
    <w:panose1 w:val="02000000000000000000"/>
    <w:charset w:val="86"/>
    <w:family w:val="auto"/>
    <w:pitch w:val="default"/>
    <w:sig w:usb0="A00002BF" w:usb1="38CF7CFA" w:usb2="00082016" w:usb3="00000000" w:csb0="00040001" w:csb1="00000000"/>
  </w:font>
  <w:font w:name="苹方-简">
    <w:panose1 w:val="020B0400000000000000"/>
    <w:charset w:val="86"/>
    <w:family w:val="auto"/>
    <w:pitch w:val="default"/>
    <w:sig w:usb0="A00002FF" w:usb1="7ACFFDFB" w:usb2="00000017" w:usb3="00000000" w:csb0="00040001" w:csb1="00000000"/>
  </w:font>
  <w:font w:name="宋体-简">
    <w:panose1 w:val="02010800040101010101"/>
    <w:charset w:val="86"/>
    <w:family w:val="auto"/>
    <w:pitch w:val="default"/>
    <w:sig w:usb0="00000001" w:usb1="080F0000" w:usb2="00000000" w:usb3="00000000" w:csb0="00040000"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200"/>
  <w:bordersDoNotSurroundHeader w:val="0"/>
  <w:bordersDoNotSurroundFooter w:val="0"/>
  <w:documentProtection w:enforcement="0"/>
  <w:defaultTabStop w:val="420"/>
  <w:drawingGridVerticalSpacing w:val="156"/>
  <w:displayHorizontalDrawingGridEvery w:val="0"/>
  <w:displayVerticalDrawingGridEvery w:val="2"/>
  <w:characterSpacingControl w:val="compressPunctuation"/>
  <w:compat>
    <w:spaceForUL/>
    <w:balanceSingleByteDoubleByteWidth/>
    <w:doNotLeaveBackslashAlone/>
    <w:ulTrailSpace/>
    <w:doNotExpandShiftReturn/>
    <w:adjustLineHeightInTable/>
    <w:doNotWrapTextWithPunct/>
    <w:doNotUseEastAsianBreakRules/>
    <w:useFELayout/>
    <w:doNotUseIndentAsNumberingTabStop/>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docVars>
    <w:docVar w:name="commondata" w:val="eyJoZGlkIjoiN2Y3MTdjMzQ0NDBmNGFlY2ZhNjlmNjM3NzlhNjc1MjcifQ=="/>
  </w:docVars>
  <w:rsids>
    <w:rsidRoot w:val="00B604E2"/>
    <w:rsid w:val="0002033F"/>
    <w:rsid w:val="0002167A"/>
    <w:rsid w:val="000224F0"/>
    <w:rsid w:val="000251F5"/>
    <w:rsid w:val="000260A1"/>
    <w:rsid w:val="00030C76"/>
    <w:rsid w:val="00032393"/>
    <w:rsid w:val="00032759"/>
    <w:rsid w:val="00033EA9"/>
    <w:rsid w:val="00034267"/>
    <w:rsid w:val="00041045"/>
    <w:rsid w:val="00041DC8"/>
    <w:rsid w:val="00047DED"/>
    <w:rsid w:val="00085814"/>
    <w:rsid w:val="00086D0B"/>
    <w:rsid w:val="000875D2"/>
    <w:rsid w:val="000907E3"/>
    <w:rsid w:val="000A4274"/>
    <w:rsid w:val="000B19B1"/>
    <w:rsid w:val="000B265C"/>
    <w:rsid w:val="000B4C54"/>
    <w:rsid w:val="000C0DAE"/>
    <w:rsid w:val="000D3CAC"/>
    <w:rsid w:val="000D661D"/>
    <w:rsid w:val="000E5DC5"/>
    <w:rsid w:val="000F38F8"/>
    <w:rsid w:val="000F7E05"/>
    <w:rsid w:val="00100C97"/>
    <w:rsid w:val="00110CD4"/>
    <w:rsid w:val="001227AF"/>
    <w:rsid w:val="00127930"/>
    <w:rsid w:val="00130FB7"/>
    <w:rsid w:val="001327C7"/>
    <w:rsid w:val="00137B09"/>
    <w:rsid w:val="00141495"/>
    <w:rsid w:val="0014511A"/>
    <w:rsid w:val="0015161D"/>
    <w:rsid w:val="00165FC4"/>
    <w:rsid w:val="001706AD"/>
    <w:rsid w:val="00170F4A"/>
    <w:rsid w:val="001769B1"/>
    <w:rsid w:val="00177278"/>
    <w:rsid w:val="00195060"/>
    <w:rsid w:val="001A6E6C"/>
    <w:rsid w:val="001A70B3"/>
    <w:rsid w:val="001B36F7"/>
    <w:rsid w:val="001C4D6A"/>
    <w:rsid w:val="001D051E"/>
    <w:rsid w:val="001D3A8C"/>
    <w:rsid w:val="001E06FA"/>
    <w:rsid w:val="001E2B6C"/>
    <w:rsid w:val="001E4145"/>
    <w:rsid w:val="00202A1C"/>
    <w:rsid w:val="0020518E"/>
    <w:rsid w:val="00231853"/>
    <w:rsid w:val="002329DE"/>
    <w:rsid w:val="00233CF2"/>
    <w:rsid w:val="00235F6C"/>
    <w:rsid w:val="00240B02"/>
    <w:rsid w:val="0024383A"/>
    <w:rsid w:val="00251B66"/>
    <w:rsid w:val="002878FB"/>
    <w:rsid w:val="00287C28"/>
    <w:rsid w:val="00291909"/>
    <w:rsid w:val="00292FEA"/>
    <w:rsid w:val="002A2535"/>
    <w:rsid w:val="002A33A8"/>
    <w:rsid w:val="002A404C"/>
    <w:rsid w:val="002A4158"/>
    <w:rsid w:val="002B38E7"/>
    <w:rsid w:val="002B7185"/>
    <w:rsid w:val="002C1F01"/>
    <w:rsid w:val="002D6662"/>
    <w:rsid w:val="002E184A"/>
    <w:rsid w:val="002E68A4"/>
    <w:rsid w:val="002E7294"/>
    <w:rsid w:val="003126FD"/>
    <w:rsid w:val="00315E59"/>
    <w:rsid w:val="00316415"/>
    <w:rsid w:val="00316DC3"/>
    <w:rsid w:val="00325F15"/>
    <w:rsid w:val="00355D4B"/>
    <w:rsid w:val="003648FD"/>
    <w:rsid w:val="00365839"/>
    <w:rsid w:val="00365BD3"/>
    <w:rsid w:val="0039102B"/>
    <w:rsid w:val="0039306C"/>
    <w:rsid w:val="003937CA"/>
    <w:rsid w:val="003A663D"/>
    <w:rsid w:val="003B0CAE"/>
    <w:rsid w:val="003B2EE1"/>
    <w:rsid w:val="003B4179"/>
    <w:rsid w:val="003B6AA4"/>
    <w:rsid w:val="003C495D"/>
    <w:rsid w:val="003D045E"/>
    <w:rsid w:val="003D32FB"/>
    <w:rsid w:val="003D3443"/>
    <w:rsid w:val="003D4B07"/>
    <w:rsid w:val="003D77B0"/>
    <w:rsid w:val="003F1437"/>
    <w:rsid w:val="003F5B78"/>
    <w:rsid w:val="0040216F"/>
    <w:rsid w:val="00402F26"/>
    <w:rsid w:val="00410165"/>
    <w:rsid w:val="004359A6"/>
    <w:rsid w:val="00444506"/>
    <w:rsid w:val="0045341E"/>
    <w:rsid w:val="00481FC2"/>
    <w:rsid w:val="0049606E"/>
    <w:rsid w:val="004A1EE5"/>
    <w:rsid w:val="004B3CF6"/>
    <w:rsid w:val="004C029E"/>
    <w:rsid w:val="004C512D"/>
    <w:rsid w:val="004C5AA3"/>
    <w:rsid w:val="004C740C"/>
    <w:rsid w:val="004C7A80"/>
    <w:rsid w:val="004D147E"/>
    <w:rsid w:val="004D23FC"/>
    <w:rsid w:val="004D2C8A"/>
    <w:rsid w:val="004E1C39"/>
    <w:rsid w:val="004F67EA"/>
    <w:rsid w:val="00524802"/>
    <w:rsid w:val="00527968"/>
    <w:rsid w:val="00530E72"/>
    <w:rsid w:val="0055010C"/>
    <w:rsid w:val="00572303"/>
    <w:rsid w:val="00591658"/>
    <w:rsid w:val="00594AC9"/>
    <w:rsid w:val="005A04FD"/>
    <w:rsid w:val="005B2198"/>
    <w:rsid w:val="005E14DD"/>
    <w:rsid w:val="005F1D11"/>
    <w:rsid w:val="00601D08"/>
    <w:rsid w:val="00603EDE"/>
    <w:rsid w:val="00610D47"/>
    <w:rsid w:val="00630A0C"/>
    <w:rsid w:val="00633C56"/>
    <w:rsid w:val="0064204D"/>
    <w:rsid w:val="006422CD"/>
    <w:rsid w:val="00642E05"/>
    <w:rsid w:val="0065006B"/>
    <w:rsid w:val="006509C8"/>
    <w:rsid w:val="0065152E"/>
    <w:rsid w:val="00655917"/>
    <w:rsid w:val="006621CF"/>
    <w:rsid w:val="00673469"/>
    <w:rsid w:val="006759C7"/>
    <w:rsid w:val="00675D5A"/>
    <w:rsid w:val="0067670B"/>
    <w:rsid w:val="006840A4"/>
    <w:rsid w:val="0068662B"/>
    <w:rsid w:val="0069310C"/>
    <w:rsid w:val="00693C47"/>
    <w:rsid w:val="00694463"/>
    <w:rsid w:val="006960C8"/>
    <w:rsid w:val="006C4F4C"/>
    <w:rsid w:val="006D0589"/>
    <w:rsid w:val="006E0ED7"/>
    <w:rsid w:val="006E11D0"/>
    <w:rsid w:val="006E1507"/>
    <w:rsid w:val="006E632B"/>
    <w:rsid w:val="006F0174"/>
    <w:rsid w:val="006F5420"/>
    <w:rsid w:val="006F683D"/>
    <w:rsid w:val="006F6EAC"/>
    <w:rsid w:val="00706624"/>
    <w:rsid w:val="00721607"/>
    <w:rsid w:val="00727DA5"/>
    <w:rsid w:val="00732B84"/>
    <w:rsid w:val="00764EAE"/>
    <w:rsid w:val="00774A06"/>
    <w:rsid w:val="007A1149"/>
    <w:rsid w:val="007A45BB"/>
    <w:rsid w:val="007B59A7"/>
    <w:rsid w:val="007D07DC"/>
    <w:rsid w:val="007F52A3"/>
    <w:rsid w:val="00820AB4"/>
    <w:rsid w:val="008373CE"/>
    <w:rsid w:val="0084469D"/>
    <w:rsid w:val="0084547D"/>
    <w:rsid w:val="0086345D"/>
    <w:rsid w:val="00867F7F"/>
    <w:rsid w:val="00881A37"/>
    <w:rsid w:val="00895FF2"/>
    <w:rsid w:val="008A0B8D"/>
    <w:rsid w:val="008A12A5"/>
    <w:rsid w:val="008A17A6"/>
    <w:rsid w:val="008B7BB5"/>
    <w:rsid w:val="008D0DCA"/>
    <w:rsid w:val="008D5353"/>
    <w:rsid w:val="008D7EF6"/>
    <w:rsid w:val="008E003C"/>
    <w:rsid w:val="008E6A68"/>
    <w:rsid w:val="008F27D3"/>
    <w:rsid w:val="008F2E57"/>
    <w:rsid w:val="008F6E17"/>
    <w:rsid w:val="009056B5"/>
    <w:rsid w:val="009129DE"/>
    <w:rsid w:val="00914FD9"/>
    <w:rsid w:val="00916C28"/>
    <w:rsid w:val="00922F12"/>
    <w:rsid w:val="00926265"/>
    <w:rsid w:val="00943102"/>
    <w:rsid w:val="009444B5"/>
    <w:rsid w:val="00944501"/>
    <w:rsid w:val="00983008"/>
    <w:rsid w:val="00996E2D"/>
    <w:rsid w:val="009B07F3"/>
    <w:rsid w:val="009B3A40"/>
    <w:rsid w:val="009C0AE0"/>
    <w:rsid w:val="009C3CC9"/>
    <w:rsid w:val="009C65CB"/>
    <w:rsid w:val="009D1C47"/>
    <w:rsid w:val="009D2B40"/>
    <w:rsid w:val="009E362F"/>
    <w:rsid w:val="009F43F0"/>
    <w:rsid w:val="00A00006"/>
    <w:rsid w:val="00A01CBA"/>
    <w:rsid w:val="00A03BF7"/>
    <w:rsid w:val="00A07398"/>
    <w:rsid w:val="00A1764A"/>
    <w:rsid w:val="00A61ADE"/>
    <w:rsid w:val="00A65E57"/>
    <w:rsid w:val="00A66F98"/>
    <w:rsid w:val="00AB118B"/>
    <w:rsid w:val="00AC0908"/>
    <w:rsid w:val="00AC16F9"/>
    <w:rsid w:val="00AC774E"/>
    <w:rsid w:val="00AD38C8"/>
    <w:rsid w:val="00AE4AF0"/>
    <w:rsid w:val="00AE5721"/>
    <w:rsid w:val="00AE683A"/>
    <w:rsid w:val="00B16242"/>
    <w:rsid w:val="00B21432"/>
    <w:rsid w:val="00B25457"/>
    <w:rsid w:val="00B26D0D"/>
    <w:rsid w:val="00B35660"/>
    <w:rsid w:val="00B3567A"/>
    <w:rsid w:val="00B47365"/>
    <w:rsid w:val="00B537F5"/>
    <w:rsid w:val="00B604E2"/>
    <w:rsid w:val="00B7231E"/>
    <w:rsid w:val="00B745DF"/>
    <w:rsid w:val="00B80469"/>
    <w:rsid w:val="00B8084C"/>
    <w:rsid w:val="00B8585D"/>
    <w:rsid w:val="00BA0DFD"/>
    <w:rsid w:val="00BB0931"/>
    <w:rsid w:val="00BB6C06"/>
    <w:rsid w:val="00BB79B5"/>
    <w:rsid w:val="00BC0CDD"/>
    <w:rsid w:val="00BD44BE"/>
    <w:rsid w:val="00BF4125"/>
    <w:rsid w:val="00BF7295"/>
    <w:rsid w:val="00C020F4"/>
    <w:rsid w:val="00C03EBC"/>
    <w:rsid w:val="00C12DED"/>
    <w:rsid w:val="00C13A18"/>
    <w:rsid w:val="00C15D93"/>
    <w:rsid w:val="00C15FA0"/>
    <w:rsid w:val="00C32B34"/>
    <w:rsid w:val="00C538F6"/>
    <w:rsid w:val="00C539B3"/>
    <w:rsid w:val="00C62DB9"/>
    <w:rsid w:val="00C710BF"/>
    <w:rsid w:val="00C757FF"/>
    <w:rsid w:val="00C8147F"/>
    <w:rsid w:val="00C870A5"/>
    <w:rsid w:val="00C913C9"/>
    <w:rsid w:val="00CA4BEA"/>
    <w:rsid w:val="00CB086C"/>
    <w:rsid w:val="00CB4DC5"/>
    <w:rsid w:val="00CC1ED3"/>
    <w:rsid w:val="00CC69F7"/>
    <w:rsid w:val="00CD06A1"/>
    <w:rsid w:val="00CD5851"/>
    <w:rsid w:val="00D019D7"/>
    <w:rsid w:val="00D046A4"/>
    <w:rsid w:val="00D1142A"/>
    <w:rsid w:val="00D16E39"/>
    <w:rsid w:val="00D327D7"/>
    <w:rsid w:val="00D35939"/>
    <w:rsid w:val="00D363BC"/>
    <w:rsid w:val="00D41F60"/>
    <w:rsid w:val="00D431BF"/>
    <w:rsid w:val="00D45D4F"/>
    <w:rsid w:val="00D5176B"/>
    <w:rsid w:val="00D52C17"/>
    <w:rsid w:val="00D55100"/>
    <w:rsid w:val="00D825C6"/>
    <w:rsid w:val="00D9020D"/>
    <w:rsid w:val="00D9518A"/>
    <w:rsid w:val="00D96E65"/>
    <w:rsid w:val="00DA2BE9"/>
    <w:rsid w:val="00DB13C3"/>
    <w:rsid w:val="00DB2AB8"/>
    <w:rsid w:val="00DB4228"/>
    <w:rsid w:val="00DB7A7E"/>
    <w:rsid w:val="00DC0439"/>
    <w:rsid w:val="00DC2395"/>
    <w:rsid w:val="00DC2957"/>
    <w:rsid w:val="00DD1421"/>
    <w:rsid w:val="00DD4D1B"/>
    <w:rsid w:val="00DF4461"/>
    <w:rsid w:val="00DF515A"/>
    <w:rsid w:val="00E0214F"/>
    <w:rsid w:val="00E04B69"/>
    <w:rsid w:val="00E0715F"/>
    <w:rsid w:val="00E12FD7"/>
    <w:rsid w:val="00E5322C"/>
    <w:rsid w:val="00E5467F"/>
    <w:rsid w:val="00E556B1"/>
    <w:rsid w:val="00E665E3"/>
    <w:rsid w:val="00E722E8"/>
    <w:rsid w:val="00E730DA"/>
    <w:rsid w:val="00E77BE9"/>
    <w:rsid w:val="00E9409A"/>
    <w:rsid w:val="00E97D22"/>
    <w:rsid w:val="00E97D47"/>
    <w:rsid w:val="00EA4265"/>
    <w:rsid w:val="00EB1E36"/>
    <w:rsid w:val="00EB2A72"/>
    <w:rsid w:val="00EB3F46"/>
    <w:rsid w:val="00EC1603"/>
    <w:rsid w:val="00EE0DE5"/>
    <w:rsid w:val="00EE2C61"/>
    <w:rsid w:val="00F04664"/>
    <w:rsid w:val="00F0749C"/>
    <w:rsid w:val="00F124DB"/>
    <w:rsid w:val="00F2449F"/>
    <w:rsid w:val="00F27E17"/>
    <w:rsid w:val="00F3498F"/>
    <w:rsid w:val="00F507D8"/>
    <w:rsid w:val="00F658F4"/>
    <w:rsid w:val="00F72692"/>
    <w:rsid w:val="00F75EB8"/>
    <w:rsid w:val="00F84C5E"/>
    <w:rsid w:val="00F96231"/>
    <w:rsid w:val="00FC1E8A"/>
    <w:rsid w:val="00FD5DA0"/>
    <w:rsid w:val="00FF43FF"/>
    <w:rsid w:val="00FF4BDE"/>
    <w:rsid w:val="0AC91BFE"/>
    <w:rsid w:val="1B7E29BC"/>
    <w:rsid w:val="2F6E73AD"/>
    <w:rsid w:val="436C72A2"/>
    <w:rsid w:val="44B33A23"/>
    <w:rsid w:val="5DFF9F4C"/>
    <w:rsid w:val="690A0478"/>
    <w:rsid w:val="6BE53A72"/>
    <w:rsid w:val="6EFF2889"/>
    <w:rsid w:val="76FE0FF8"/>
    <w:rsid w:val="7F5E57DC"/>
    <w:rsid w:val="7FFE1C20"/>
    <w:rsid w:val="85FBF264"/>
    <w:rsid w:val="E5FD20F1"/>
    <w:rsid w:val="EB9BAD13"/>
    <w:rsid w:val="F77F5A16"/>
    <w:rsid w:val="FBFD899D"/>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imes New Roman" w:hAnsi="Times New Roman" w:eastAsia="宋体" w:cs="Times New Roman"/>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9" w:semiHidden="0" w:name="heading 1"/>
    <w:lsdException w:qFormat="1" w:uiPriority="9" w:name="heading 2"/>
    <w:lsdException w:qFormat="1" w:uiPriority="9" w:name="heading 3"/>
    <w:lsdException w:qFormat="1" w:unhideWhenUsed="0" w:uiPriority="0" w:semiHidden="0" w:name="heading 4"/>
    <w:lsdException w:qFormat="1" w:uiPriority="9" w:name="heading 5"/>
    <w:lsdException w:qFormat="1" w:uiPriority="9" w:name="heading 6"/>
    <w:lsdException w:qFormat="1" w:uiPriority="9" w:name="heading 7"/>
    <w:lsdException w:qFormat="1" w:uiPriority="9" w:name="heading 8"/>
    <w:lsdException w:qFormat="1" w:uiPriority="9" w:name="heading 9"/>
    <w:lsdException w:uiPriority="99" w:name="index 1"/>
    <w:lsdException w:uiPriority="99" w:name="index 2"/>
    <w:lsdException w:uiPriority="99" w:name="index 3"/>
    <w:lsdException w:uiPriority="99" w:name="index 4"/>
    <w:lsdException w:uiPriority="99" w:name="index 5"/>
    <w:lsdException w:uiPriority="99" w:name="index 6"/>
    <w:lsdException w:uiPriority="99" w:name="index 7"/>
    <w:lsdException w:uiPriority="99" w:name="index 8"/>
    <w:lsdException w:uiPriority="99" w:name="index 9"/>
    <w:lsdException w:uiPriority="39" w:name="toc 1"/>
    <w:lsdException w:uiPriority="39" w:name="toc 2"/>
    <w:lsdException w:uiPriority="39" w:name="toc 3"/>
    <w:lsdException w:uiPriority="39" w:name="toc 4"/>
    <w:lsdException w:uiPriority="39" w:name="toc 5"/>
    <w:lsdException w:uiPriority="39" w:name="toc 6"/>
    <w:lsdException w:uiPriority="39" w:name="toc 7"/>
    <w:lsdException w:uiPriority="39" w:name="toc 8"/>
    <w:lsdException w:uiPriority="39" w:name="toc 9"/>
    <w:lsdException w:uiPriority="99" w:name="Normal Indent"/>
    <w:lsdException w:uiPriority="99" w:name="footnote text"/>
    <w:lsdException w:uiPriority="99" w:name="annotation text"/>
    <w:lsdException w:qFormat="1" w:uiPriority="99" w:semiHidden="0" w:name="header"/>
    <w:lsdException w:qFormat="1" w:uiPriority="99" w:semiHidden="0" w:name="footer"/>
    <w:lsdException w:uiPriority="99" w:name="index heading"/>
    <w:lsdException w:qFormat="1" w:uiPriority="0" w:semiHidden="0" w:name="caption"/>
    <w:lsdException w:uiPriority="99" w:name="table of figures"/>
    <w:lsdException w:uiPriority="99" w:name="envelope address"/>
    <w:lsdException w:uiPriority="99" w:name="envelope return"/>
    <w:lsdException w:uiPriority="99" w:name="footnote reference"/>
    <w:lsdException w:uiPriority="99" w:name="annotation reference"/>
    <w:lsdException w:uiPriority="99" w:name="line number"/>
    <w:lsdException w:uiPriority="99" w:name="page number"/>
    <w:lsdException w:uiPriority="99" w:name="endnote reference"/>
    <w:lsdException w:uiPriority="99" w:name="endnote text"/>
    <w:lsdException w:uiPriority="99" w:name="table of authorities"/>
    <w:lsdException w:uiPriority="99" w:name="macro"/>
    <w:lsdException w:uiPriority="99" w:name="toa heading"/>
    <w:lsdException w:uiPriority="99" w:name="List"/>
    <w:lsdException w:uiPriority="99" w:name="List Bullet"/>
    <w:lsdException w:uiPriority="99" w:name="List Number"/>
    <w:lsdException w:uiPriority="99" w:name="List 2"/>
    <w:lsdException w:uiPriority="99" w:name="List 3"/>
    <w:lsdException w:uiPriority="99" w:name="List 4"/>
    <w:lsdException w:uiPriority="99" w:name="List 5"/>
    <w:lsdException w:uiPriority="99" w:name="List Bullet 2"/>
    <w:lsdException w:uiPriority="99" w:name="List Bullet 3"/>
    <w:lsdException w:uiPriority="99" w:name="List Bullet 4"/>
    <w:lsdException w:uiPriority="99" w:name="List Bullet 5"/>
    <w:lsdException w:uiPriority="99" w:name="List Number 2"/>
    <w:lsdException w:uiPriority="99" w:name="List Number 3"/>
    <w:lsdException w:uiPriority="99" w:name="List Number 4"/>
    <w:lsdException w:uiPriority="99" w:name="List Number 5"/>
    <w:lsdException w:qFormat="1" w:unhideWhenUsed="0" w:uiPriority="10" w:semiHidden="0" w:name="Title"/>
    <w:lsdException w:uiPriority="99" w:name="Closing"/>
    <w:lsdException w:uiPriority="99" w:name="Signature"/>
    <w:lsdException w:qFormat="1" w:uiPriority="1" w:name="Default Paragraph Font"/>
    <w:lsdException w:uiPriority="99" w:name="Body Text"/>
    <w:lsdException w:uiPriority="99" w:name="Body Text Indent"/>
    <w:lsdException w:uiPriority="99" w:name="List Continue"/>
    <w:lsdException w:uiPriority="99" w:name="List Continue 2"/>
    <w:lsdException w:uiPriority="99" w:name="List Continue 3"/>
    <w:lsdException w:uiPriority="99" w:name="List Continue 4"/>
    <w:lsdException w:uiPriority="99" w:name="List Continue 5"/>
    <w:lsdException w:uiPriority="99" w:name="Message Header"/>
    <w:lsdException w:qFormat="1" w:unhideWhenUsed="0" w:uiPriority="11" w:semiHidden="0" w:name="Subtitle"/>
    <w:lsdException w:uiPriority="99" w:name="Salutation"/>
    <w:lsdException w:uiPriority="99" w:name="Date"/>
    <w:lsdException w:uiPriority="99" w:name="Body Text First Indent"/>
    <w:lsdException w:uiPriority="99" w:name="Body Text First Indent 2"/>
    <w:lsdException w:uiPriority="99" w:name="Note Heading"/>
    <w:lsdException w:uiPriority="99" w:name="Body Text 2"/>
    <w:lsdException w:uiPriority="99" w:name="Body Text 3"/>
    <w:lsdException w:uiPriority="99" w:name="Body Text Indent 2"/>
    <w:lsdException w:uiPriority="99" w:name="Body Text Indent 3"/>
    <w:lsdException w:uiPriority="99" w:name="Block Text"/>
    <w:lsdException w:uiPriority="99" w:name="Hyperlink"/>
    <w:lsdException w:uiPriority="99" w:name="FollowedHyperlink"/>
    <w:lsdException w:qFormat="1" w:unhideWhenUsed="0" w:uiPriority="22" w:semiHidden="0" w:name="Strong"/>
    <w:lsdException w:qFormat="1" w:unhideWhenUsed="0" w:uiPriority="20" w:semiHidden="0" w:name="Emphasis"/>
    <w:lsdException w:uiPriority="99" w:name="Document Map"/>
    <w:lsdException w:uiPriority="99" w:name="Plain Text"/>
    <w:lsdException w:uiPriority="99" w:name="E-mail Signature"/>
    <w:lsdException w:uiPriority="99" w:name="Normal (Web)"/>
    <w:lsdException w:uiPriority="99" w:name="HTML Acronym"/>
    <w:lsdException w:uiPriority="99" w:name="HTML Address"/>
    <w:lsdException w:uiPriority="99" w:name="HTML Cite"/>
    <w:lsdException w:uiPriority="99" w:name="HTML Code"/>
    <w:lsdException w:uiPriority="99" w:name="HTML Definition"/>
    <w:lsdException w:uiPriority="99" w:name="HTML Keyboard"/>
    <w:lsdException w:uiPriority="99" w:name="HTML Preformatted"/>
    <w:lsdException w:uiPriority="99" w:name="HTML Sample"/>
    <w:lsdException w:uiPriority="99" w:name="HTML Typewriter"/>
    <w:lsdException w:uiPriority="99" w:name="HTML Variable"/>
    <w:lsdException w:uiPriority="99" w:name="Normal Table"/>
    <w:lsdException w:uiPriority="99" w:name="annotation subject"/>
    <w:lsdException w:uiPriority="99" w:name="Table Simple 1"/>
    <w:lsdException w:uiPriority="99" w:name="Table Simple 2"/>
    <w:lsdException w:uiPriority="99" w:name="Table Simple 3"/>
    <w:lsdException w:uiPriority="99" w:name="Table Classic 1"/>
    <w:lsdException w:uiPriority="99" w:name="Table Classic 2"/>
    <w:lsdException w:uiPriority="99" w:name="Table Classic 3"/>
    <w:lsdException w:uiPriority="99" w:name="Table Classic 4"/>
    <w:lsdException w:uiPriority="99" w:name="Table Colorful 1"/>
    <w:lsdException w:uiPriority="99" w:name="Table Colorful 2"/>
    <w:lsdException w:uiPriority="99" w:name="Table Colorful 3"/>
    <w:lsdException w:uiPriority="99" w:name="Table Columns 1"/>
    <w:lsdException w:uiPriority="99" w:name="Table Columns 2"/>
    <w:lsdException w:uiPriority="99" w:name="Table Columns 3"/>
    <w:lsdException w:uiPriority="99" w:name="Table Columns 4"/>
    <w:lsdException w:uiPriority="99" w:name="Table Columns 5"/>
    <w:lsdException w:uiPriority="99" w:name="Table Grid 1"/>
    <w:lsdException w:uiPriority="99" w:name="Table Grid 2"/>
    <w:lsdException w:uiPriority="99" w:name="Table Grid 3"/>
    <w:lsdException w:uiPriority="99" w:name="Table Grid 4"/>
    <w:lsdException w:uiPriority="99" w:name="Table Grid 5"/>
    <w:lsdException w:uiPriority="99" w:name="Table Grid 6"/>
    <w:lsdException w:uiPriority="99" w:name="Table Grid 7"/>
    <w:lsdException w:uiPriority="99" w:name="Table Grid 8"/>
    <w:lsdException w:uiPriority="99" w:name="Table List 1"/>
    <w:lsdException w:uiPriority="99" w:name="Table List 2"/>
    <w:lsdException w:uiPriority="99" w:name="Table List 3"/>
    <w:lsdException w:uiPriority="99" w:name="Table List 4"/>
    <w:lsdException w:uiPriority="99" w:name="Table List 5"/>
    <w:lsdException w:uiPriority="99" w:name="Table List 6"/>
    <w:lsdException w:uiPriority="99" w:name="Table List 7"/>
    <w:lsdException w:uiPriority="99" w:name="Table List 8"/>
    <w:lsdException w:uiPriority="99" w:name="Table 3D effects 1"/>
    <w:lsdException w:uiPriority="99" w:name="Table 3D effects 2"/>
    <w:lsdException w:uiPriority="99" w:name="Table 3D effects 3"/>
    <w:lsdException w:uiPriority="99" w:name="Table Contemporary"/>
    <w:lsdException w:uiPriority="99" w:name="Table Elegant"/>
    <w:lsdException w:uiPriority="99" w:name="Table Professional"/>
    <w:lsdException w:uiPriority="99" w:name="Table Subtle 1"/>
    <w:lsdException w:uiPriority="99" w:name="Table Subtle 2"/>
    <w:lsdException w:uiPriority="99" w:name="Table Web 1"/>
    <w:lsdException w:uiPriority="99" w:name="Table Web 2"/>
    <w:lsdException w:uiPriority="99" w:name="Table Web 3"/>
    <w:lsdException w:uiPriority="99" w:name="Balloon Text"/>
    <w:lsdException w:qFormat="1" w:unhideWhenUsed="0" w:uiPriority="39" w:semiHidden="0" w:name="Table Grid"/>
    <w:lsdException w:uiPriority="99"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qFormat="1" w:unhideWhenUsed="0" w:uiPriority="34" w:semiHidden="0" w:name="List Paragraph"/>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jc w:val="both"/>
    </w:pPr>
    <w:rPr>
      <w:rFonts w:ascii="Calibri" w:hAnsi="Calibri" w:eastAsia="宋体" w:cs="Times New Roman"/>
      <w:kern w:val="2"/>
      <w:sz w:val="21"/>
      <w:szCs w:val="22"/>
      <w:lang w:val="en-US" w:eastAsia="zh-CN" w:bidi="ar-SA"/>
    </w:rPr>
  </w:style>
  <w:style w:type="paragraph" w:styleId="2">
    <w:name w:val="heading 3"/>
    <w:basedOn w:val="1"/>
    <w:next w:val="1"/>
    <w:link w:val="29"/>
    <w:semiHidden/>
    <w:unhideWhenUsed/>
    <w:qFormat/>
    <w:uiPriority w:val="9"/>
    <w:pPr>
      <w:keepNext/>
      <w:keepLines/>
      <w:spacing w:before="260" w:after="260" w:line="416" w:lineRule="auto"/>
      <w:outlineLvl w:val="2"/>
    </w:pPr>
    <w:rPr>
      <w:b/>
      <w:bCs/>
      <w:sz w:val="32"/>
      <w:szCs w:val="32"/>
    </w:rPr>
  </w:style>
  <w:style w:type="paragraph" w:styleId="3">
    <w:name w:val="heading 4"/>
    <w:basedOn w:val="1"/>
    <w:next w:val="1"/>
    <w:link w:val="22"/>
    <w:qFormat/>
    <w:uiPriority w:val="0"/>
    <w:pPr>
      <w:keepNext/>
      <w:keepLines/>
      <w:spacing w:before="30" w:beforeLines="30" w:after="30" w:afterLines="30" w:line="264" w:lineRule="auto"/>
      <w:ind w:left="150" w:leftChars="150"/>
      <w:outlineLvl w:val="3"/>
    </w:pPr>
    <w:rPr>
      <w:rFonts w:ascii="Times New Roman" w:hAnsi="Times New Roman" w:eastAsia="方正宋黑_GBK"/>
      <w:color w:val="E4007F"/>
      <w:sz w:val="26"/>
      <w:szCs w:val="20"/>
    </w:rPr>
  </w:style>
  <w:style w:type="paragraph" w:styleId="4">
    <w:name w:val="heading 5"/>
    <w:basedOn w:val="1"/>
    <w:next w:val="1"/>
    <w:link w:val="24"/>
    <w:semiHidden/>
    <w:unhideWhenUsed/>
    <w:qFormat/>
    <w:uiPriority w:val="9"/>
    <w:pPr>
      <w:keepNext/>
      <w:keepLines/>
      <w:spacing w:before="280" w:after="290" w:line="376" w:lineRule="auto"/>
      <w:outlineLvl w:val="4"/>
    </w:pPr>
    <w:rPr>
      <w:b/>
      <w:bCs/>
      <w:sz w:val="28"/>
      <w:szCs w:val="28"/>
    </w:rPr>
  </w:style>
  <w:style w:type="paragraph" w:styleId="5">
    <w:name w:val="heading 6"/>
    <w:basedOn w:val="1"/>
    <w:next w:val="1"/>
    <w:link w:val="25"/>
    <w:semiHidden/>
    <w:unhideWhenUsed/>
    <w:qFormat/>
    <w:uiPriority w:val="9"/>
    <w:pPr>
      <w:keepNext/>
      <w:keepLines/>
      <w:spacing w:before="240" w:after="64" w:line="320" w:lineRule="auto"/>
      <w:outlineLvl w:val="5"/>
    </w:pPr>
    <w:rPr>
      <w:rFonts w:asciiTheme="majorHAnsi" w:hAnsiTheme="majorHAnsi" w:eastAsiaTheme="majorEastAsia" w:cstheme="majorBidi"/>
      <w:b/>
      <w:bCs/>
      <w:sz w:val="24"/>
      <w:szCs w:val="24"/>
    </w:rPr>
  </w:style>
  <w:style w:type="character" w:default="1" w:styleId="11">
    <w:name w:val="Default Paragraph Font"/>
    <w:semiHidden/>
    <w:unhideWhenUsed/>
    <w:qFormat/>
    <w:uiPriority w:val="1"/>
  </w:style>
  <w:style w:type="table" w:default="1" w:styleId="9">
    <w:name w:val="Normal Table"/>
    <w:semiHidden/>
    <w:unhideWhenUsed/>
    <w:uiPriority w:val="99"/>
    <w:pPr>
      <w:keepNext w:val="0"/>
      <w:keepLines w:val="0"/>
      <w:widowControl/>
      <w:suppressLineNumbers w:val="0"/>
      <w:spacing w:before="0" w:beforeAutospacing="0" w:after="0" w:afterAutospacing="0"/>
      <w:ind w:left="0" w:right="0"/>
    </w:pPr>
    <w:rPr>
      <w:rFonts w:hint="default" w:ascii="Times New Roman" w:hAnsi="Times New Roman" w:cs="Times New Roman"/>
      <w:sz w:val="20"/>
      <w:szCs w:val="20"/>
    </w:rPr>
    <w:tblPr>
      <w:tblCellMar>
        <w:top w:w="0" w:type="dxa"/>
        <w:left w:w="108" w:type="dxa"/>
        <w:bottom w:w="0" w:type="dxa"/>
        <w:right w:w="108" w:type="dxa"/>
      </w:tblCellMar>
    </w:tblPr>
  </w:style>
  <w:style w:type="paragraph" w:styleId="6">
    <w:name w:val="caption"/>
    <w:basedOn w:val="1"/>
    <w:next w:val="1"/>
    <w:link w:val="27"/>
    <w:unhideWhenUsed/>
    <w:qFormat/>
    <w:uiPriority w:val="0"/>
    <w:rPr>
      <w:rFonts w:eastAsia="黑体" w:asciiTheme="majorHAnsi" w:hAnsiTheme="majorHAnsi" w:cstheme="majorBidi"/>
      <w:sz w:val="20"/>
      <w:szCs w:val="20"/>
    </w:rPr>
  </w:style>
  <w:style w:type="paragraph" w:styleId="7">
    <w:name w:val="footer"/>
    <w:basedOn w:val="1"/>
    <w:link w:val="18"/>
    <w:unhideWhenUsed/>
    <w:qFormat/>
    <w:uiPriority w:val="99"/>
    <w:pPr>
      <w:tabs>
        <w:tab w:val="center" w:pos="4153"/>
        <w:tab w:val="right" w:pos="8306"/>
      </w:tabs>
      <w:snapToGrid w:val="0"/>
      <w:jc w:val="left"/>
    </w:pPr>
    <w:rPr>
      <w:sz w:val="18"/>
      <w:szCs w:val="18"/>
    </w:rPr>
  </w:style>
  <w:style w:type="paragraph" w:styleId="8">
    <w:name w:val="header"/>
    <w:basedOn w:val="1"/>
    <w:link w:val="17"/>
    <w:unhideWhenUsed/>
    <w:qFormat/>
    <w:uiPriority w:val="99"/>
    <w:pPr>
      <w:pBdr>
        <w:bottom w:val="single" w:color="auto" w:sz="6" w:space="1"/>
      </w:pBdr>
      <w:tabs>
        <w:tab w:val="center" w:pos="4153"/>
        <w:tab w:val="right" w:pos="8306"/>
      </w:tabs>
      <w:snapToGrid w:val="0"/>
      <w:jc w:val="center"/>
    </w:pPr>
    <w:rPr>
      <w:sz w:val="18"/>
      <w:szCs w:val="18"/>
    </w:rPr>
  </w:style>
  <w:style w:type="table" w:styleId="10">
    <w:name w:val="Table Grid"/>
    <w:basedOn w:val="9"/>
    <w:qFormat/>
    <w:uiPriority w:val="39"/>
    <w:pPr>
      <w:widowControl w:val="0"/>
      <w:jc w:val="both"/>
    </w:p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paragraph" w:customStyle="1" w:styleId="12">
    <w:name w:val="Heading #2|1"/>
    <w:basedOn w:val="1"/>
    <w:qFormat/>
    <w:uiPriority w:val="0"/>
    <w:pPr>
      <w:spacing w:after="640"/>
      <w:jc w:val="center"/>
      <w:outlineLvl w:val="1"/>
    </w:pPr>
    <w:rPr>
      <w:rFonts w:ascii="宋体" w:hAnsi="宋体" w:cs="宋体"/>
      <w:color w:val="EC008D"/>
      <w:sz w:val="30"/>
      <w:szCs w:val="30"/>
      <w:lang w:val="zh-TW" w:eastAsia="zh-TW" w:bidi="zh-TW"/>
    </w:rPr>
  </w:style>
  <w:style w:type="paragraph" w:customStyle="1" w:styleId="13">
    <w:name w:val="Heading #3|1"/>
    <w:basedOn w:val="1"/>
    <w:link w:val="14"/>
    <w:qFormat/>
    <w:uiPriority w:val="0"/>
    <w:pPr>
      <w:spacing w:after="160"/>
      <w:outlineLvl w:val="2"/>
    </w:pPr>
    <w:rPr>
      <w:rFonts w:ascii="宋体" w:hAnsi="宋体" w:cs="宋体"/>
      <w:color w:val="EC008D"/>
      <w:sz w:val="20"/>
      <w:szCs w:val="20"/>
      <w:lang w:val="zh-TW" w:eastAsia="zh-TW" w:bidi="zh-TW"/>
    </w:rPr>
  </w:style>
  <w:style w:type="character" w:customStyle="1" w:styleId="14">
    <w:name w:val="Heading #3|1 Char"/>
    <w:link w:val="13"/>
    <w:qFormat/>
    <w:uiPriority w:val="0"/>
    <w:rPr>
      <w:rFonts w:ascii="宋体" w:hAnsi="宋体" w:eastAsia="宋体" w:cs="宋体"/>
      <w:color w:val="EC008D"/>
      <w:sz w:val="20"/>
      <w:szCs w:val="20"/>
      <w:lang w:val="zh-TW" w:eastAsia="zh-TW" w:bidi="zh-TW"/>
    </w:rPr>
  </w:style>
  <w:style w:type="paragraph" w:customStyle="1" w:styleId="15">
    <w:name w:val="Body text|1"/>
    <w:basedOn w:val="1"/>
    <w:link w:val="16"/>
    <w:unhideWhenUsed/>
    <w:qFormat/>
    <w:uiPriority w:val="0"/>
    <w:pPr>
      <w:spacing w:line="360" w:lineRule="auto"/>
      <w:ind w:firstLine="400"/>
    </w:pPr>
    <w:rPr>
      <w:rFonts w:ascii="宋体" w:hAnsi="宋体" w:cs="宋体"/>
      <w:sz w:val="20"/>
      <w:szCs w:val="20"/>
      <w:lang w:val="zh-TW" w:eastAsia="zh-TW" w:bidi="zh-TW"/>
    </w:rPr>
  </w:style>
  <w:style w:type="character" w:customStyle="1" w:styleId="16">
    <w:name w:val="Body text|1 Char"/>
    <w:link w:val="15"/>
    <w:qFormat/>
    <w:uiPriority w:val="0"/>
    <w:rPr>
      <w:rFonts w:ascii="宋体" w:hAnsi="宋体" w:eastAsia="宋体" w:cs="宋体"/>
      <w:sz w:val="20"/>
      <w:szCs w:val="20"/>
      <w:lang w:val="zh-TW" w:eastAsia="zh-TW" w:bidi="zh-TW"/>
    </w:rPr>
  </w:style>
  <w:style w:type="character" w:customStyle="1" w:styleId="17">
    <w:name w:val="页眉 Char"/>
    <w:basedOn w:val="11"/>
    <w:link w:val="8"/>
    <w:qFormat/>
    <w:uiPriority w:val="99"/>
    <w:rPr>
      <w:rFonts w:ascii="Calibri" w:hAnsi="Calibri" w:eastAsia="宋体" w:cs="Times New Roman"/>
      <w:sz w:val="18"/>
      <w:szCs w:val="18"/>
    </w:rPr>
  </w:style>
  <w:style w:type="character" w:customStyle="1" w:styleId="18">
    <w:name w:val="页脚 Char"/>
    <w:basedOn w:val="11"/>
    <w:link w:val="7"/>
    <w:qFormat/>
    <w:uiPriority w:val="99"/>
    <w:rPr>
      <w:rFonts w:ascii="Calibri" w:hAnsi="Calibri" w:eastAsia="宋体" w:cs="Times New Roman"/>
      <w:sz w:val="18"/>
      <w:szCs w:val="18"/>
    </w:rPr>
  </w:style>
  <w:style w:type="paragraph" w:styleId="19">
    <w:name w:val="List Paragraph"/>
    <w:basedOn w:val="1"/>
    <w:qFormat/>
    <w:uiPriority w:val="34"/>
    <w:pPr>
      <w:ind w:firstLine="420" w:firstLineChars="200"/>
    </w:pPr>
  </w:style>
  <w:style w:type="paragraph" w:customStyle="1" w:styleId="20">
    <w:name w:val="知识拓展内容"/>
    <w:basedOn w:val="1"/>
    <w:link w:val="21"/>
    <w:qFormat/>
    <w:uiPriority w:val="0"/>
    <w:pPr>
      <w:pBdr>
        <w:top w:val="single" w:color="FADCE9" w:sz="4" w:space="3"/>
        <w:left w:val="single" w:color="FADCE9" w:sz="4" w:space="4"/>
        <w:bottom w:val="single" w:color="FADCE9" w:sz="4" w:space="3"/>
        <w:right w:val="single" w:color="FADCE9" w:sz="4" w:space="4"/>
      </w:pBdr>
      <w:shd w:val="clear" w:color="auto" w:fill="FADCE9"/>
      <w:spacing w:line="264" w:lineRule="auto"/>
      <w:ind w:left="50" w:leftChars="50" w:right="50" w:rightChars="50" w:firstLine="200" w:firstLineChars="200"/>
    </w:pPr>
    <w:rPr>
      <w:rFonts w:ascii="Times New Roman" w:hAnsi="Times New Roman" w:eastAsia="仿宋_GB2312"/>
      <w:kern w:val="10"/>
      <w:szCs w:val="21"/>
      <w:lang w:val="zh-CN" w:eastAsia="zh-CN"/>
    </w:rPr>
  </w:style>
  <w:style w:type="character" w:customStyle="1" w:styleId="21">
    <w:name w:val="知识拓展内容 Char"/>
    <w:link w:val="20"/>
    <w:qFormat/>
    <w:uiPriority w:val="0"/>
    <w:rPr>
      <w:rFonts w:ascii="Times New Roman" w:hAnsi="Times New Roman" w:eastAsia="仿宋_GB2312" w:cs="Times New Roman"/>
      <w:kern w:val="10"/>
      <w:szCs w:val="21"/>
      <w:shd w:val="clear" w:color="auto" w:fill="FADCE9"/>
      <w:lang w:val="zh-CN" w:eastAsia="zh-CN"/>
    </w:rPr>
  </w:style>
  <w:style w:type="character" w:customStyle="1" w:styleId="22">
    <w:name w:val="标题 4 Char"/>
    <w:basedOn w:val="11"/>
    <w:link w:val="3"/>
    <w:uiPriority w:val="0"/>
    <w:rPr>
      <w:rFonts w:ascii="Times New Roman" w:hAnsi="Times New Roman" w:eastAsia="方正宋黑_GBK" w:cs="Times New Roman"/>
      <w:color w:val="E4007F"/>
      <w:sz w:val="26"/>
      <w:szCs w:val="20"/>
    </w:rPr>
  </w:style>
  <w:style w:type="character" w:customStyle="1" w:styleId="23">
    <w:name w:val="字符样式 拼音字体"/>
    <w:qFormat/>
    <w:uiPriority w:val="0"/>
    <w:rPr>
      <w:rFonts w:ascii="PinYinok" w:hAnsi="PinYinok"/>
      <w:sz w:val="24"/>
      <w:szCs w:val="24"/>
    </w:rPr>
  </w:style>
  <w:style w:type="character" w:customStyle="1" w:styleId="24">
    <w:name w:val="标题 5 Char"/>
    <w:basedOn w:val="11"/>
    <w:link w:val="4"/>
    <w:semiHidden/>
    <w:qFormat/>
    <w:uiPriority w:val="9"/>
    <w:rPr>
      <w:rFonts w:ascii="Calibri" w:hAnsi="Calibri" w:eastAsia="宋体" w:cs="Times New Roman"/>
      <w:b/>
      <w:bCs/>
      <w:sz w:val="28"/>
      <w:szCs w:val="28"/>
    </w:rPr>
  </w:style>
  <w:style w:type="character" w:customStyle="1" w:styleId="25">
    <w:name w:val="标题 6 Char"/>
    <w:basedOn w:val="11"/>
    <w:link w:val="5"/>
    <w:semiHidden/>
    <w:uiPriority w:val="9"/>
    <w:rPr>
      <w:rFonts w:asciiTheme="majorHAnsi" w:hAnsiTheme="majorHAnsi" w:eastAsiaTheme="majorEastAsia" w:cstheme="majorBidi"/>
      <w:b/>
      <w:bCs/>
      <w:sz w:val="24"/>
      <w:szCs w:val="24"/>
    </w:rPr>
  </w:style>
  <w:style w:type="paragraph" w:customStyle="1" w:styleId="26">
    <w:name w:val="图片"/>
    <w:basedOn w:val="1"/>
    <w:next w:val="6"/>
    <w:link w:val="28"/>
    <w:qFormat/>
    <w:uiPriority w:val="0"/>
    <w:pPr>
      <w:spacing w:before="120"/>
      <w:jc w:val="center"/>
    </w:pPr>
    <w:rPr>
      <w:rFonts w:ascii="Times New Roman" w:hAnsi="Times New Roman"/>
      <w:szCs w:val="20"/>
    </w:rPr>
  </w:style>
  <w:style w:type="character" w:customStyle="1" w:styleId="27">
    <w:name w:val="题注 Char"/>
    <w:link w:val="6"/>
    <w:qFormat/>
    <w:locked/>
    <w:uiPriority w:val="0"/>
    <w:rPr>
      <w:rFonts w:eastAsia="黑体" w:asciiTheme="majorHAnsi" w:hAnsiTheme="majorHAnsi" w:cstheme="majorBidi"/>
      <w:sz w:val="20"/>
      <w:szCs w:val="20"/>
    </w:rPr>
  </w:style>
  <w:style w:type="character" w:customStyle="1" w:styleId="28">
    <w:name w:val="图片 Char"/>
    <w:link w:val="26"/>
    <w:locked/>
    <w:uiPriority w:val="0"/>
    <w:rPr>
      <w:rFonts w:ascii="Times New Roman" w:hAnsi="Times New Roman" w:eastAsia="宋体" w:cs="Times New Roman"/>
      <w:szCs w:val="20"/>
    </w:rPr>
  </w:style>
  <w:style w:type="character" w:customStyle="1" w:styleId="29">
    <w:name w:val="标题 3 Char"/>
    <w:basedOn w:val="11"/>
    <w:link w:val="2"/>
    <w:semiHidden/>
    <w:qFormat/>
    <w:uiPriority w:val="9"/>
    <w:rPr>
      <w:rFonts w:ascii="Calibri" w:hAnsi="Calibri" w:eastAsia="宋体" w:cs="Times New Roman"/>
      <w:b/>
      <w:bCs/>
      <w:sz w:val="32"/>
      <w:szCs w:val="32"/>
    </w:rPr>
  </w:style>
</w:styles>
</file>

<file path=word/_rels/document.xml.rels><?xml version="1.0" encoding="UTF-8" standalone="yes"?>
<Relationships xmlns="http://schemas.openxmlformats.org/package/2006/relationships"><Relationship Id="rId9" Type="http://schemas.openxmlformats.org/officeDocument/2006/relationships/image" Target="media/image6.png"/><Relationship Id="rId8" Type="http://schemas.openxmlformats.org/officeDocument/2006/relationships/image" Target="media/image5.png"/><Relationship Id="rId7" Type="http://schemas.openxmlformats.org/officeDocument/2006/relationships/image" Target="media/image4.png"/><Relationship Id="rId6" Type="http://schemas.openxmlformats.org/officeDocument/2006/relationships/image" Target="media/image3.png"/><Relationship Id="rId5" Type="http://schemas.openxmlformats.org/officeDocument/2006/relationships/image" Target="media/image2.png"/><Relationship Id="rId4" Type="http://schemas.openxmlformats.org/officeDocument/2006/relationships/image" Target="media/image1.png"/><Relationship Id="rId3" Type="http://schemas.openxmlformats.org/officeDocument/2006/relationships/theme" Target="theme/theme1.xml"/><Relationship Id="rId28" Type="http://schemas.openxmlformats.org/officeDocument/2006/relationships/fontTable" Target="fontTable.xml"/><Relationship Id="rId27" Type="http://schemas.openxmlformats.org/officeDocument/2006/relationships/image" Target="media/image24.png"/><Relationship Id="rId26" Type="http://schemas.openxmlformats.org/officeDocument/2006/relationships/image" Target="media/image23.png"/><Relationship Id="rId25" Type="http://schemas.openxmlformats.org/officeDocument/2006/relationships/image" Target="media/image22.png"/><Relationship Id="rId24" Type="http://schemas.openxmlformats.org/officeDocument/2006/relationships/image" Target="media/image21.png"/><Relationship Id="rId23" Type="http://schemas.openxmlformats.org/officeDocument/2006/relationships/image" Target="media/image20.png"/><Relationship Id="rId22" Type="http://schemas.openxmlformats.org/officeDocument/2006/relationships/image" Target="media/image19.png"/><Relationship Id="rId21" Type="http://schemas.openxmlformats.org/officeDocument/2006/relationships/image" Target="media/image18.png"/><Relationship Id="rId20" Type="http://schemas.openxmlformats.org/officeDocument/2006/relationships/image" Target="media/image17.png"/><Relationship Id="rId2" Type="http://schemas.openxmlformats.org/officeDocument/2006/relationships/settings" Target="settings.xml"/><Relationship Id="rId19" Type="http://schemas.openxmlformats.org/officeDocument/2006/relationships/image" Target="media/image16.png"/><Relationship Id="rId18" Type="http://schemas.openxmlformats.org/officeDocument/2006/relationships/image" Target="media/image15.png"/><Relationship Id="rId17" Type="http://schemas.openxmlformats.org/officeDocument/2006/relationships/image" Target="media/image14.png"/><Relationship Id="rId16" Type="http://schemas.openxmlformats.org/officeDocument/2006/relationships/image" Target="media/image13.png"/><Relationship Id="rId15" Type="http://schemas.openxmlformats.org/officeDocument/2006/relationships/image" Target="media/image12.png"/><Relationship Id="rId14" Type="http://schemas.openxmlformats.org/officeDocument/2006/relationships/image" Target="media/image11.png"/><Relationship Id="rId13" Type="http://schemas.openxmlformats.org/officeDocument/2006/relationships/image" Target="media/image10.png"/><Relationship Id="rId12" Type="http://schemas.openxmlformats.org/officeDocument/2006/relationships/image" Target="media/image9.png"/><Relationship Id="rId11" Type="http://schemas.openxmlformats.org/officeDocument/2006/relationships/image" Target="media/image8.png"/><Relationship Id="rId10" Type="http://schemas.openxmlformats.org/officeDocument/2006/relationships/image" Target="media/image7.png"/><Relationship Id="rId1" Type="http://schemas.openxmlformats.org/officeDocument/2006/relationships/styles" Target="styles.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docProps/app.xml><?xml version="1.0" encoding="utf-8"?>
<Properties xmlns="http://schemas.openxmlformats.org/officeDocument/2006/extended-properties" xmlns:vt="http://schemas.openxmlformats.org/officeDocument/2006/docPropsVTypes">
  <Template>Normal</Template>
  <Pages>17</Pages>
  <Words>13473</Words>
  <Characters>13811</Characters>
  <Lines>1</Lines>
  <Paragraphs>1</Paragraphs>
  <TotalTime>65</TotalTime>
  <ScaleCrop>false</ScaleCrop>
  <LinksUpToDate>false</LinksUpToDate>
  <CharactersWithSpaces>13995</CharactersWithSpaces>
  <Application>WPS Office_6.4.0.8550_F1E327BC-269C-435d-A152-05C5408002CA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2021-06-11T18:03:00Z</dcterms:created>
  <dc:creator>DELL</dc:creator>
  <cp:lastModifiedBy>无谓</cp:lastModifiedBy>
  <dcterms:modified xsi:type="dcterms:W3CDTF">2024-02-08T12:44:28Z</dcterms:modified>
  <cp:revision>1</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2052-6.4.0.8550</vt:lpwstr>
  </property>
  <property fmtid="{D5CDD505-2E9C-101B-9397-08002B2CF9AE}" pid="3" name="ICV">
    <vt:lpwstr>0AABFA832B9FD7111CBEBD65C86D82CB_43</vt:lpwstr>
  </property>
</Properties>
</file>