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8F5F4">
    <v:background id="_x0000_s2049">
      <v:fill type="tile" on="t" color2="#FFFFFF" o:title="paper2" focussize="0,0" recolor="t" r:id="rId11"/>
    </v:background>
  </w:background>
  <w:body>
    <w:p w14:paraId="006F7A69">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0F4B4B6B">
      <w:pPr>
        <w:keepNext/>
        <w:keepLines/>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B393D78">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16E34CB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2B343603">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79EE2F3F">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37DFEF0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5BB15B8">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43A883F">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E0DDFE6">
      <w:pPr>
        <w:rPr>
          <w:rFonts w:hint="eastAsia"/>
          <w:sz w:val="21"/>
          <w:szCs w:val="21"/>
        </w:rPr>
      </w:pPr>
    </w:p>
    <w:p w14:paraId="2E385E0A">
      <w:pPr>
        <w:pStyle w:val="2"/>
        <w:jc w:val="center"/>
        <w:rPr>
          <w:rFonts w:hint="eastAsia"/>
          <w:sz w:val="72"/>
          <w:szCs w:val="72"/>
        </w:rPr>
      </w:pPr>
      <w:r>
        <w:rPr>
          <w:rFonts w:hint="eastAsia" w:ascii="黑体" w:hAnsi="黑体" w:eastAsia="黑体"/>
          <w:bCs/>
          <w:kern w:val="44"/>
          <w:sz w:val="72"/>
          <w:szCs w:val="72"/>
        </w:rPr>
        <w:t>《大学生心理健康教育》</w:t>
      </w:r>
    </w:p>
    <w:p w14:paraId="5973C81D">
      <w:pPr>
        <w:keepNext/>
        <w:keepLines/>
        <w:spacing w:before="240" w:after="240" w:line="720" w:lineRule="auto"/>
        <w:jc w:val="center"/>
        <w:outlineLvl w:val="0"/>
        <w:rPr>
          <w:rFonts w:hint="eastAsia" w:ascii="黑体" w:hAnsi="黑体" w:eastAsia="黑体"/>
          <w:bCs/>
          <w:kern w:val="44"/>
          <w:sz w:val="21"/>
          <w:szCs w:val="21"/>
          <w:lang w:val="en-US" w:eastAsia="zh-CN"/>
        </w:rPr>
      </w:pPr>
      <w:bookmarkStart w:id="0" w:name="_GoBack"/>
      <w:bookmarkEnd w:id="0"/>
      <w:r>
        <w:rPr>
          <w:rFonts w:hint="eastAsia" w:ascii="黑体" w:hAnsi="黑体" w:eastAsia="黑体"/>
          <w:bCs/>
          <w:kern w:val="44"/>
          <w:sz w:val="18"/>
          <w:szCs w:val="18"/>
          <w:lang w:eastAsia="zh-CN"/>
        </w:rPr>
        <w:drawing>
          <wp:anchor distT="0" distB="0" distL="114300" distR="114300" simplePos="0" relativeHeight="251662336" behindDoc="1" locked="0" layoutInCell="1" allowOverlap="1">
            <wp:simplePos x="0" y="0"/>
            <wp:positionH relativeFrom="column">
              <wp:posOffset>3819525</wp:posOffset>
            </wp:positionH>
            <wp:positionV relativeFrom="page">
              <wp:posOffset>5426710</wp:posOffset>
            </wp:positionV>
            <wp:extent cx="3195320" cy="5271135"/>
            <wp:effectExtent l="0" t="0" r="5080" b="11430"/>
            <wp:wrapNone/>
            <wp:docPr id="3" name="图片 3" descr="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花2"/>
                    <pic:cNvPicPr>
                      <a:picLocks noChangeAspect="1"/>
                    </pic:cNvPicPr>
                  </pic:nvPicPr>
                  <pic:blipFill>
                    <a:blip r:embed="rId12"/>
                    <a:srcRect r="8841" b="3026"/>
                    <a:stretch>
                      <a:fillRect/>
                    </a:stretch>
                  </pic:blipFill>
                  <pic:spPr>
                    <a:xfrm>
                      <a:off x="0" y="0"/>
                      <a:ext cx="3195320" cy="5271135"/>
                    </a:xfrm>
                    <a:prstGeom prst="rect">
                      <a:avLst/>
                    </a:prstGeom>
                  </pic:spPr>
                </pic:pic>
              </a:graphicData>
            </a:graphic>
          </wp:anchor>
        </w:drawing>
      </w:r>
    </w:p>
    <w:p w14:paraId="6D0A6682">
      <w:pPr>
        <w:keepNext/>
        <w:keepLines/>
        <w:spacing w:before="240" w:after="240" w:line="720" w:lineRule="auto"/>
        <w:jc w:val="center"/>
        <w:outlineLvl w:val="0"/>
        <w:rPr>
          <w:rFonts w:hint="eastAsia" w:ascii="黑体" w:hAnsi="黑体" w:eastAsia="黑体"/>
          <w:bCs/>
          <w:kern w:val="44"/>
          <w:sz w:val="21"/>
          <w:szCs w:val="21"/>
          <w:lang w:val="en-US" w:eastAsia="zh-CN"/>
        </w:rPr>
      </w:pPr>
    </w:p>
    <w:p w14:paraId="7BAE2BBA">
      <w:pPr>
        <w:keepNext/>
        <w:keepLines/>
        <w:spacing w:before="240" w:after="240" w:line="720" w:lineRule="auto"/>
        <w:jc w:val="center"/>
        <w:outlineLvl w:val="0"/>
        <w:rPr>
          <w:rFonts w:hint="eastAsia" w:ascii="黑体" w:hAnsi="黑体" w:eastAsia="黑体"/>
          <w:bCs/>
          <w:kern w:val="44"/>
          <w:sz w:val="21"/>
          <w:szCs w:val="21"/>
          <w:lang w:val="en-US" w:eastAsia="zh-CN"/>
        </w:rPr>
      </w:pPr>
    </w:p>
    <w:p w14:paraId="01A0FDBE">
      <w:pPr>
        <w:keepNext/>
        <w:keepLines/>
        <w:spacing w:before="240" w:after="240" w:line="720" w:lineRule="auto"/>
        <w:jc w:val="center"/>
        <w:outlineLvl w:val="0"/>
        <w:rPr>
          <w:rFonts w:hint="eastAsia" w:ascii="黑体" w:hAnsi="黑体" w:eastAsia="黑体"/>
          <w:bCs/>
          <w:kern w:val="44"/>
          <w:sz w:val="21"/>
          <w:szCs w:val="21"/>
          <w:lang w:val="en-US" w:eastAsia="zh-CN"/>
        </w:rPr>
      </w:pPr>
      <w:r>
        <w:rPr>
          <w:rFonts w:hint="eastAsia" w:ascii="黑体" w:hAnsi="黑体" w:eastAsia="黑体"/>
          <w:bCs/>
          <w:kern w:val="44"/>
          <w:sz w:val="18"/>
          <w:szCs w:val="18"/>
          <w:lang w:eastAsia="zh-CN"/>
        </w:rPr>
        <w:drawing>
          <wp:anchor distT="0" distB="0" distL="114300" distR="114300" simplePos="0" relativeHeight="251661312" behindDoc="1" locked="0" layoutInCell="1" allowOverlap="1">
            <wp:simplePos x="0" y="0"/>
            <wp:positionH relativeFrom="column">
              <wp:posOffset>-532130</wp:posOffset>
            </wp:positionH>
            <wp:positionV relativeFrom="page">
              <wp:posOffset>7620</wp:posOffset>
            </wp:positionV>
            <wp:extent cx="2266315" cy="3599815"/>
            <wp:effectExtent l="0" t="0" r="0" b="0"/>
            <wp:wrapNone/>
            <wp:docPr id="4" name="图片 4" descr="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花"/>
                    <pic:cNvPicPr>
                      <a:picLocks noChangeAspect="1"/>
                    </pic:cNvPicPr>
                  </pic:nvPicPr>
                  <pic:blipFill>
                    <a:blip r:embed="rId13"/>
                    <a:srcRect l="16846" t="13133"/>
                    <a:stretch>
                      <a:fillRect/>
                    </a:stretch>
                  </pic:blipFill>
                  <pic:spPr>
                    <a:xfrm>
                      <a:off x="0" y="0"/>
                      <a:ext cx="2266315" cy="3599815"/>
                    </a:xfrm>
                    <a:prstGeom prst="rect">
                      <a:avLst/>
                    </a:prstGeom>
                  </pic:spPr>
                </pic:pic>
              </a:graphicData>
            </a:graphic>
          </wp:anchor>
        </w:drawing>
      </w:r>
    </w:p>
    <w:p w14:paraId="006EEBB6">
      <w:pPr>
        <w:keepNext/>
        <w:keepLines/>
        <w:spacing w:before="240" w:after="240" w:line="720" w:lineRule="auto"/>
        <w:jc w:val="center"/>
        <w:outlineLvl w:val="0"/>
        <w:rPr>
          <w:rFonts w:hint="eastAsia" w:ascii="黑体" w:hAnsi="黑体" w:eastAsia="黑体"/>
          <w:bCs/>
          <w:kern w:val="44"/>
          <w:sz w:val="21"/>
          <w:szCs w:val="21"/>
          <w:lang w:val="en-US" w:eastAsia="zh-CN"/>
        </w:rPr>
      </w:pPr>
    </w:p>
    <w:p w14:paraId="6CD1F3E4">
      <w:pPr>
        <w:keepNext/>
        <w:keepLines/>
        <w:spacing w:before="240" w:after="240" w:line="720" w:lineRule="auto"/>
        <w:jc w:val="center"/>
        <w:outlineLvl w:val="0"/>
        <w:rPr>
          <w:rFonts w:hint="eastAsia" w:ascii="黑体" w:hAnsi="黑体" w:eastAsia="黑体"/>
          <w:bCs/>
          <w:kern w:val="44"/>
          <w:sz w:val="21"/>
          <w:szCs w:val="21"/>
          <w:lang w:val="en-US" w:eastAsia="zh-CN"/>
        </w:rPr>
      </w:pPr>
    </w:p>
    <w:p w14:paraId="26CBA991">
      <w:pPr>
        <w:keepNext/>
        <w:keepLines/>
        <w:spacing w:before="240" w:after="240" w:line="720" w:lineRule="auto"/>
        <w:jc w:val="center"/>
        <w:outlineLvl w:val="0"/>
        <w:rPr>
          <w:rFonts w:hint="default" w:ascii="黑体" w:hAnsi="黑体" w:eastAsia="黑体"/>
          <w:bCs/>
          <w:kern w:val="44"/>
          <w:sz w:val="18"/>
          <w:szCs w:val="18"/>
          <w:lang w:val="en-US" w:eastAsia="zh-CN"/>
        </w:rPr>
        <w:sectPr>
          <w:headerReference r:id="rId4" w:type="first"/>
          <w:footerReference r:id="rId5" w:type="first"/>
          <w:headerReference r:id="rId3" w:type="default"/>
          <w:pgSz w:w="11906" w:h="16838"/>
          <w:pgMar w:top="1134" w:right="850" w:bottom="1134" w:left="850" w:header="0" w:footer="0" w:gutter="0"/>
          <w:pgBorders>
            <w:top w:val="none" w:sz="0" w:space="0"/>
            <w:left w:val="none" w:sz="0" w:space="0"/>
            <w:bottom w:val="none" w:sz="0" w:space="0"/>
            <w:right w:val="none" w:sz="0" w:space="0"/>
          </w:pgBorders>
          <w:cols w:space="720" w:num="1"/>
          <w:docGrid w:type="lines" w:linePitch="312" w:charSpace="0"/>
        </w:sectPr>
      </w:pPr>
      <w:r>
        <w:rPr>
          <w:rFonts w:hint="eastAsia" w:ascii="黑体" w:hAnsi="黑体" w:eastAsia="黑体"/>
          <w:bCs/>
          <w:kern w:val="44"/>
          <w:sz w:val="21"/>
          <w:szCs w:val="21"/>
          <w:lang w:val="en-US" w:eastAsia="zh-CN"/>
        </w:rPr>
        <w:t>北京出版社</w:t>
      </w:r>
    </w:p>
    <w:p w14:paraId="341C0E38">
      <w:pPr>
        <w:keepNext/>
        <w:keepLines/>
        <w:spacing w:before="240" w:after="240" w:line="720" w:lineRule="auto"/>
        <w:jc w:val="center"/>
        <w:outlineLvl w:val="0"/>
        <w:rPr>
          <w:rFonts w:ascii="黑体" w:hAnsi="黑体" w:eastAsia="黑体"/>
          <w:b/>
          <w:bCs/>
          <w:kern w:val="44"/>
          <w:sz w:val="36"/>
          <w:szCs w:val="36"/>
        </w:rPr>
      </w:pPr>
      <w:r>
        <w:rPr>
          <w:rFonts w:ascii="黑体" w:hAnsi="黑体" w:eastAsia="黑体"/>
          <w:b/>
          <w:bCs/>
          <w:kern w:val="44"/>
          <w:sz w:val="36"/>
          <w:szCs w:val="36"/>
        </w:rPr>
        <w:t>课时安排</w:t>
      </w:r>
    </w:p>
    <w:tbl>
      <w:tblPr>
        <w:tblStyle w:val="7"/>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1118"/>
        <w:gridCol w:w="4836"/>
        <w:gridCol w:w="2030"/>
        <w:gridCol w:w="1654"/>
      </w:tblGrid>
      <w:tr w14:paraId="57457DD3">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cantSplit/>
          <w:trHeight w:val="850" w:hRule="atLeast"/>
          <w:jc w:val="center"/>
        </w:trPr>
        <w:tc>
          <w:tcPr>
            <w:tcW w:w="954" w:type="dxa"/>
            <w:tcBorders>
              <w:tl2br w:val="nil"/>
              <w:tr2bl w:val="nil"/>
            </w:tcBorders>
            <w:shd w:val="clear" w:color="auto" w:fill="FFE599" w:themeFill="accent4" w:themeFillTint="66"/>
            <w:vAlign w:val="center"/>
          </w:tcPr>
          <w:p w14:paraId="1FED9E2C">
            <w:pPr>
              <w:spacing w:line="360" w:lineRule="auto"/>
              <w:ind w:leftChars="-8" w:hanging="17" w:hangingChars="7"/>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章节</w:t>
            </w:r>
          </w:p>
        </w:tc>
        <w:tc>
          <w:tcPr>
            <w:tcW w:w="4128" w:type="dxa"/>
            <w:tcBorders>
              <w:tl2br w:val="nil"/>
              <w:tr2bl w:val="nil"/>
            </w:tcBorders>
            <w:shd w:val="clear" w:color="auto" w:fill="FFE599" w:themeFill="accent4" w:themeFillTint="66"/>
            <w:vAlign w:val="center"/>
          </w:tcPr>
          <w:p w14:paraId="39F7AED3">
            <w:pPr>
              <w:spacing w:line="360" w:lineRule="auto"/>
              <w:ind w:firstLine="26"/>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课程内容</w:t>
            </w:r>
          </w:p>
        </w:tc>
        <w:tc>
          <w:tcPr>
            <w:tcW w:w="1733" w:type="dxa"/>
            <w:tcBorders>
              <w:tl2br w:val="nil"/>
              <w:tr2bl w:val="nil"/>
            </w:tcBorders>
            <w:shd w:val="clear" w:color="auto" w:fill="FFE599" w:themeFill="accent4" w:themeFillTint="66"/>
            <w:vAlign w:val="center"/>
          </w:tcPr>
          <w:p w14:paraId="4B8B02E2">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 时</w:t>
            </w:r>
          </w:p>
        </w:tc>
        <w:tc>
          <w:tcPr>
            <w:tcW w:w="1412" w:type="dxa"/>
            <w:tcBorders>
              <w:tl2br w:val="nil"/>
              <w:tr2bl w:val="nil"/>
            </w:tcBorders>
            <w:shd w:val="clear" w:color="auto" w:fill="FFE599" w:themeFill="accent4" w:themeFillTint="66"/>
            <w:vAlign w:val="center"/>
          </w:tcPr>
          <w:p w14:paraId="7705041B">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备 注</w:t>
            </w:r>
          </w:p>
        </w:tc>
      </w:tr>
      <w:tr w14:paraId="43FBEF2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649F037">
            <w:pPr>
              <w:spacing w:line="360" w:lineRule="auto"/>
              <w:jc w:val="center"/>
              <w:rPr>
                <w:rFonts w:hint="eastAsia" w:ascii="宋体" w:hAnsi="宋体" w:eastAsia="宋体" w:cs="宋体"/>
                <w:sz w:val="24"/>
                <w:szCs w:val="24"/>
              </w:rPr>
            </w:pPr>
            <w:r>
              <w:rPr>
                <w:rFonts w:hint="eastAsia" w:ascii="宋体" w:hAnsi="宋体" w:eastAsia="宋体" w:cs="宋体"/>
                <w:sz w:val="24"/>
                <w:szCs w:val="24"/>
              </w:rPr>
              <w:t>1</w:t>
            </w:r>
          </w:p>
        </w:tc>
        <w:tc>
          <w:tcPr>
            <w:tcW w:w="4128" w:type="dxa"/>
            <w:tcBorders>
              <w:tl2br w:val="nil"/>
              <w:tr2bl w:val="nil"/>
            </w:tcBorders>
            <w:shd w:val="clear" w:color="auto" w:fill="auto"/>
            <w:vAlign w:val="center"/>
          </w:tcPr>
          <w:p w14:paraId="3B9784A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走进心理健康</w:t>
            </w:r>
          </w:p>
        </w:tc>
        <w:tc>
          <w:tcPr>
            <w:tcW w:w="1733" w:type="dxa"/>
            <w:tcBorders>
              <w:tl2br w:val="nil"/>
              <w:tr2bl w:val="nil"/>
            </w:tcBorders>
            <w:shd w:val="clear" w:color="auto" w:fill="auto"/>
            <w:vAlign w:val="center"/>
          </w:tcPr>
          <w:p w14:paraId="0B37F85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75D739D1">
            <w:pPr>
              <w:spacing w:line="360" w:lineRule="auto"/>
              <w:ind w:firstLine="425"/>
              <w:jc w:val="center"/>
              <w:rPr>
                <w:rFonts w:hint="eastAsia" w:ascii="宋体" w:hAnsi="宋体" w:eastAsia="宋体" w:cs="宋体"/>
                <w:sz w:val="24"/>
                <w:szCs w:val="24"/>
              </w:rPr>
            </w:pPr>
          </w:p>
        </w:tc>
      </w:tr>
      <w:tr w14:paraId="1938204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5E9D9E44">
            <w:pPr>
              <w:spacing w:line="360" w:lineRule="auto"/>
              <w:jc w:val="center"/>
              <w:rPr>
                <w:rFonts w:hint="eastAsia" w:ascii="宋体" w:hAnsi="宋体" w:eastAsia="宋体" w:cs="宋体"/>
                <w:sz w:val="24"/>
                <w:szCs w:val="24"/>
              </w:rPr>
            </w:pPr>
            <w:r>
              <w:rPr>
                <w:rFonts w:hint="eastAsia" w:ascii="宋体" w:hAnsi="宋体" w:eastAsia="宋体" w:cs="宋体"/>
                <w:sz w:val="24"/>
                <w:szCs w:val="24"/>
              </w:rPr>
              <w:t>2</w:t>
            </w:r>
          </w:p>
        </w:tc>
        <w:tc>
          <w:tcPr>
            <w:tcW w:w="4128" w:type="dxa"/>
            <w:tcBorders>
              <w:tl2br w:val="nil"/>
              <w:tr2bl w:val="nil"/>
            </w:tcBorders>
            <w:shd w:val="clear" w:color="auto" w:fill="auto"/>
            <w:vAlign w:val="center"/>
          </w:tcPr>
          <w:p w14:paraId="309051CB">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新生入学适应</w:t>
            </w:r>
          </w:p>
        </w:tc>
        <w:tc>
          <w:tcPr>
            <w:tcW w:w="1733" w:type="dxa"/>
            <w:tcBorders>
              <w:tl2br w:val="nil"/>
              <w:tr2bl w:val="nil"/>
            </w:tcBorders>
            <w:shd w:val="clear" w:color="auto" w:fill="auto"/>
            <w:vAlign w:val="center"/>
          </w:tcPr>
          <w:p w14:paraId="4BFC92C3">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6C46B2E9">
            <w:pPr>
              <w:spacing w:line="360" w:lineRule="auto"/>
              <w:ind w:firstLine="425"/>
              <w:jc w:val="center"/>
              <w:rPr>
                <w:rFonts w:hint="eastAsia" w:ascii="宋体" w:hAnsi="宋体" w:eastAsia="宋体" w:cs="宋体"/>
                <w:sz w:val="24"/>
                <w:szCs w:val="24"/>
              </w:rPr>
            </w:pPr>
          </w:p>
        </w:tc>
      </w:tr>
      <w:tr w14:paraId="36067FB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5B311B3">
            <w:pPr>
              <w:spacing w:line="360" w:lineRule="auto"/>
              <w:jc w:val="center"/>
              <w:rPr>
                <w:rFonts w:hint="eastAsia" w:ascii="宋体" w:hAnsi="宋体" w:eastAsia="宋体" w:cs="宋体"/>
                <w:sz w:val="24"/>
                <w:szCs w:val="24"/>
              </w:rPr>
            </w:pPr>
            <w:r>
              <w:rPr>
                <w:rFonts w:hint="eastAsia" w:ascii="宋体" w:hAnsi="宋体" w:eastAsia="宋体" w:cs="宋体"/>
                <w:sz w:val="24"/>
                <w:szCs w:val="24"/>
              </w:rPr>
              <w:t>3</w:t>
            </w:r>
          </w:p>
        </w:tc>
        <w:tc>
          <w:tcPr>
            <w:tcW w:w="4128" w:type="dxa"/>
            <w:tcBorders>
              <w:tl2br w:val="nil"/>
              <w:tr2bl w:val="nil"/>
            </w:tcBorders>
            <w:shd w:val="clear" w:color="auto" w:fill="auto"/>
            <w:vAlign w:val="center"/>
          </w:tcPr>
          <w:p w14:paraId="059089F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大学生学习心理</w:t>
            </w:r>
          </w:p>
        </w:tc>
        <w:tc>
          <w:tcPr>
            <w:tcW w:w="1733" w:type="dxa"/>
            <w:tcBorders>
              <w:tl2br w:val="nil"/>
              <w:tr2bl w:val="nil"/>
            </w:tcBorders>
            <w:shd w:val="clear" w:color="auto" w:fill="auto"/>
            <w:vAlign w:val="center"/>
          </w:tcPr>
          <w:p w14:paraId="08231BD6">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3D0BE08D">
            <w:pPr>
              <w:spacing w:line="360" w:lineRule="auto"/>
              <w:ind w:firstLine="425"/>
              <w:jc w:val="center"/>
              <w:rPr>
                <w:rFonts w:hint="eastAsia" w:ascii="宋体" w:hAnsi="宋体" w:eastAsia="宋体" w:cs="宋体"/>
                <w:sz w:val="24"/>
                <w:szCs w:val="24"/>
              </w:rPr>
            </w:pPr>
          </w:p>
        </w:tc>
      </w:tr>
      <w:tr w14:paraId="247E57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559FDEE8">
            <w:pPr>
              <w:spacing w:line="360" w:lineRule="auto"/>
              <w:jc w:val="center"/>
              <w:rPr>
                <w:rFonts w:hint="eastAsia" w:ascii="宋体" w:hAnsi="宋体" w:eastAsia="宋体" w:cs="宋体"/>
                <w:sz w:val="24"/>
                <w:szCs w:val="24"/>
              </w:rPr>
            </w:pPr>
            <w:r>
              <w:rPr>
                <w:rFonts w:hint="eastAsia" w:ascii="宋体" w:hAnsi="宋体" w:eastAsia="宋体" w:cs="宋体"/>
                <w:sz w:val="24"/>
                <w:szCs w:val="24"/>
              </w:rPr>
              <w:t>4</w:t>
            </w:r>
          </w:p>
        </w:tc>
        <w:tc>
          <w:tcPr>
            <w:tcW w:w="4128" w:type="dxa"/>
            <w:tcBorders>
              <w:tl2br w:val="nil"/>
              <w:tr2bl w:val="nil"/>
            </w:tcBorders>
            <w:shd w:val="clear" w:color="auto" w:fill="auto"/>
            <w:vAlign w:val="center"/>
          </w:tcPr>
          <w:p w14:paraId="61D57F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大学生生命教育与心理危机干预</w:t>
            </w:r>
          </w:p>
        </w:tc>
        <w:tc>
          <w:tcPr>
            <w:tcW w:w="1733" w:type="dxa"/>
            <w:tcBorders>
              <w:tl2br w:val="nil"/>
              <w:tr2bl w:val="nil"/>
            </w:tcBorders>
            <w:shd w:val="clear" w:color="auto" w:fill="auto"/>
            <w:vAlign w:val="center"/>
          </w:tcPr>
          <w:p w14:paraId="0E1B835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0419FCBA">
            <w:pPr>
              <w:spacing w:line="360" w:lineRule="auto"/>
              <w:ind w:firstLine="425"/>
              <w:jc w:val="center"/>
              <w:rPr>
                <w:rFonts w:hint="eastAsia" w:ascii="宋体" w:hAnsi="宋体" w:eastAsia="宋体" w:cs="宋体"/>
                <w:sz w:val="24"/>
                <w:szCs w:val="24"/>
              </w:rPr>
            </w:pPr>
          </w:p>
        </w:tc>
      </w:tr>
      <w:tr w14:paraId="72D695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22D60CE5">
            <w:pPr>
              <w:spacing w:line="360" w:lineRule="auto"/>
              <w:jc w:val="center"/>
              <w:rPr>
                <w:rFonts w:hint="eastAsia" w:ascii="宋体" w:hAnsi="宋体" w:eastAsia="宋体" w:cs="宋体"/>
                <w:sz w:val="24"/>
                <w:szCs w:val="24"/>
              </w:rPr>
            </w:pPr>
            <w:r>
              <w:rPr>
                <w:rFonts w:hint="eastAsia" w:ascii="宋体" w:hAnsi="宋体" w:eastAsia="宋体" w:cs="宋体"/>
                <w:sz w:val="24"/>
                <w:szCs w:val="24"/>
              </w:rPr>
              <w:t>5</w:t>
            </w:r>
          </w:p>
        </w:tc>
        <w:tc>
          <w:tcPr>
            <w:tcW w:w="4128" w:type="dxa"/>
            <w:tcBorders>
              <w:tl2br w:val="nil"/>
              <w:tr2bl w:val="nil"/>
            </w:tcBorders>
            <w:shd w:val="clear" w:color="auto" w:fill="auto"/>
            <w:vAlign w:val="center"/>
          </w:tcPr>
          <w:p w14:paraId="5BDE5723">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精神障碍的识别与预防</w:t>
            </w:r>
          </w:p>
        </w:tc>
        <w:tc>
          <w:tcPr>
            <w:tcW w:w="1733" w:type="dxa"/>
            <w:tcBorders>
              <w:tl2br w:val="nil"/>
              <w:tr2bl w:val="nil"/>
            </w:tcBorders>
            <w:shd w:val="clear" w:color="auto" w:fill="auto"/>
            <w:vAlign w:val="center"/>
          </w:tcPr>
          <w:p w14:paraId="25E2B8C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7351FBD9">
            <w:pPr>
              <w:spacing w:line="360" w:lineRule="auto"/>
              <w:ind w:firstLine="425"/>
              <w:jc w:val="center"/>
              <w:rPr>
                <w:rFonts w:hint="eastAsia" w:ascii="宋体" w:hAnsi="宋体" w:eastAsia="宋体" w:cs="宋体"/>
                <w:sz w:val="24"/>
                <w:szCs w:val="24"/>
              </w:rPr>
            </w:pPr>
          </w:p>
        </w:tc>
      </w:tr>
      <w:tr w14:paraId="48C1D7A8">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D8A7B8A">
            <w:pPr>
              <w:spacing w:line="360" w:lineRule="auto"/>
              <w:jc w:val="center"/>
              <w:rPr>
                <w:rFonts w:hint="eastAsia" w:ascii="宋体" w:hAnsi="宋体" w:eastAsia="宋体" w:cs="宋体"/>
                <w:sz w:val="24"/>
                <w:szCs w:val="24"/>
              </w:rPr>
            </w:pPr>
            <w:r>
              <w:rPr>
                <w:rFonts w:hint="eastAsia" w:ascii="宋体" w:hAnsi="宋体" w:eastAsia="宋体" w:cs="宋体"/>
                <w:sz w:val="24"/>
                <w:szCs w:val="24"/>
              </w:rPr>
              <w:t>6</w:t>
            </w:r>
          </w:p>
        </w:tc>
        <w:tc>
          <w:tcPr>
            <w:tcW w:w="4128" w:type="dxa"/>
            <w:tcBorders>
              <w:tl2br w:val="nil"/>
              <w:tr2bl w:val="nil"/>
            </w:tcBorders>
            <w:shd w:val="clear" w:color="auto" w:fill="auto"/>
            <w:vAlign w:val="center"/>
          </w:tcPr>
          <w:p w14:paraId="6074B70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大学生的自我意识 </w:t>
            </w:r>
          </w:p>
        </w:tc>
        <w:tc>
          <w:tcPr>
            <w:tcW w:w="1733" w:type="dxa"/>
            <w:tcBorders>
              <w:tl2br w:val="nil"/>
              <w:tr2bl w:val="nil"/>
            </w:tcBorders>
            <w:shd w:val="clear" w:color="auto" w:fill="auto"/>
            <w:vAlign w:val="center"/>
          </w:tcPr>
          <w:p w14:paraId="2A6B19A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CE4B7C8">
            <w:pPr>
              <w:spacing w:line="360" w:lineRule="auto"/>
              <w:ind w:firstLine="425"/>
              <w:jc w:val="center"/>
              <w:rPr>
                <w:rFonts w:hint="eastAsia" w:ascii="宋体" w:hAnsi="宋体" w:eastAsia="宋体" w:cs="宋体"/>
                <w:sz w:val="24"/>
                <w:szCs w:val="24"/>
              </w:rPr>
            </w:pPr>
          </w:p>
        </w:tc>
      </w:tr>
      <w:tr w14:paraId="2C1E77F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11789F1">
            <w:pPr>
              <w:spacing w:line="360" w:lineRule="auto"/>
              <w:jc w:val="center"/>
              <w:rPr>
                <w:rFonts w:hint="eastAsia" w:ascii="宋体" w:hAnsi="宋体" w:eastAsia="宋体" w:cs="宋体"/>
                <w:sz w:val="24"/>
                <w:szCs w:val="24"/>
              </w:rPr>
            </w:pPr>
            <w:r>
              <w:rPr>
                <w:rFonts w:hint="eastAsia" w:ascii="宋体" w:hAnsi="宋体" w:eastAsia="宋体" w:cs="宋体"/>
                <w:sz w:val="24"/>
                <w:szCs w:val="24"/>
              </w:rPr>
              <w:t>7</w:t>
            </w:r>
          </w:p>
        </w:tc>
        <w:tc>
          <w:tcPr>
            <w:tcW w:w="4128" w:type="dxa"/>
            <w:tcBorders>
              <w:tl2br w:val="nil"/>
              <w:tr2bl w:val="nil"/>
            </w:tcBorders>
            <w:shd w:val="clear" w:color="auto" w:fill="auto"/>
            <w:vAlign w:val="center"/>
          </w:tcPr>
          <w:p w14:paraId="2988A97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大学生的人格发展 </w:t>
            </w:r>
          </w:p>
        </w:tc>
        <w:tc>
          <w:tcPr>
            <w:tcW w:w="1733" w:type="dxa"/>
            <w:tcBorders>
              <w:tl2br w:val="nil"/>
              <w:tr2bl w:val="nil"/>
            </w:tcBorders>
            <w:shd w:val="clear" w:color="auto" w:fill="auto"/>
            <w:vAlign w:val="center"/>
          </w:tcPr>
          <w:p w14:paraId="252844E2">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05A76096">
            <w:pPr>
              <w:spacing w:line="360" w:lineRule="auto"/>
              <w:ind w:firstLine="425"/>
              <w:jc w:val="center"/>
              <w:rPr>
                <w:rFonts w:hint="eastAsia" w:ascii="宋体" w:hAnsi="宋体" w:eastAsia="宋体" w:cs="宋体"/>
                <w:sz w:val="24"/>
                <w:szCs w:val="24"/>
              </w:rPr>
            </w:pPr>
          </w:p>
        </w:tc>
      </w:tr>
      <w:tr w14:paraId="200F0F2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190FD2B">
            <w:pPr>
              <w:spacing w:line="360" w:lineRule="auto"/>
              <w:jc w:val="center"/>
              <w:rPr>
                <w:rFonts w:hint="eastAsia" w:ascii="宋体" w:hAnsi="宋体" w:eastAsia="宋体" w:cs="宋体"/>
                <w:sz w:val="24"/>
                <w:szCs w:val="24"/>
              </w:rPr>
            </w:pPr>
            <w:r>
              <w:rPr>
                <w:rFonts w:hint="eastAsia" w:ascii="宋体" w:hAnsi="宋体" w:eastAsia="宋体" w:cs="宋体"/>
                <w:sz w:val="24"/>
                <w:szCs w:val="24"/>
              </w:rPr>
              <w:t>8</w:t>
            </w:r>
          </w:p>
        </w:tc>
        <w:tc>
          <w:tcPr>
            <w:tcW w:w="4128" w:type="dxa"/>
            <w:tcBorders>
              <w:tl2br w:val="nil"/>
              <w:tr2bl w:val="nil"/>
            </w:tcBorders>
            <w:shd w:val="clear" w:color="auto" w:fill="auto"/>
            <w:vAlign w:val="center"/>
          </w:tcPr>
          <w:p w14:paraId="4A196BA9">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大学生的情绪管理</w:t>
            </w:r>
          </w:p>
        </w:tc>
        <w:tc>
          <w:tcPr>
            <w:tcW w:w="1733" w:type="dxa"/>
            <w:tcBorders>
              <w:tl2br w:val="nil"/>
              <w:tr2bl w:val="nil"/>
            </w:tcBorders>
            <w:shd w:val="clear" w:color="auto" w:fill="auto"/>
            <w:vAlign w:val="center"/>
          </w:tcPr>
          <w:p w14:paraId="4D2A56F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2FE338AC">
            <w:pPr>
              <w:spacing w:line="360" w:lineRule="auto"/>
              <w:ind w:firstLine="425"/>
              <w:jc w:val="center"/>
              <w:rPr>
                <w:rFonts w:hint="eastAsia" w:ascii="宋体" w:hAnsi="宋体" w:eastAsia="宋体" w:cs="宋体"/>
                <w:sz w:val="24"/>
                <w:szCs w:val="24"/>
              </w:rPr>
            </w:pPr>
          </w:p>
        </w:tc>
      </w:tr>
      <w:tr w14:paraId="0D3209A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214818D">
            <w:pPr>
              <w:spacing w:line="360" w:lineRule="auto"/>
              <w:ind w:left="-1" w:leftChars="-8" w:hanging="16" w:hangingChars="7"/>
              <w:jc w:val="center"/>
              <w:rPr>
                <w:rFonts w:hint="eastAsia" w:ascii="宋体" w:hAnsi="宋体" w:eastAsia="宋体" w:cs="宋体"/>
                <w:sz w:val="24"/>
                <w:szCs w:val="24"/>
              </w:rPr>
            </w:pPr>
            <w:r>
              <w:rPr>
                <w:rFonts w:hint="eastAsia" w:ascii="宋体" w:hAnsi="宋体" w:eastAsia="宋体" w:cs="宋体"/>
                <w:sz w:val="24"/>
                <w:szCs w:val="24"/>
              </w:rPr>
              <w:t>9</w:t>
            </w:r>
          </w:p>
        </w:tc>
        <w:tc>
          <w:tcPr>
            <w:tcW w:w="4128" w:type="dxa"/>
            <w:tcBorders>
              <w:tl2br w:val="nil"/>
              <w:tr2bl w:val="nil"/>
            </w:tcBorders>
            <w:shd w:val="clear" w:color="auto" w:fill="auto"/>
            <w:vAlign w:val="center"/>
          </w:tcPr>
          <w:p w14:paraId="36ADBF18">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大学生的人际交往 </w:t>
            </w:r>
          </w:p>
        </w:tc>
        <w:tc>
          <w:tcPr>
            <w:tcW w:w="1733" w:type="dxa"/>
            <w:tcBorders>
              <w:tl2br w:val="nil"/>
              <w:tr2bl w:val="nil"/>
            </w:tcBorders>
            <w:shd w:val="clear" w:color="auto" w:fill="auto"/>
            <w:vAlign w:val="center"/>
          </w:tcPr>
          <w:p w14:paraId="0C1761E5">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66725D0">
            <w:pPr>
              <w:spacing w:line="360" w:lineRule="auto"/>
              <w:ind w:firstLine="425"/>
              <w:jc w:val="center"/>
              <w:rPr>
                <w:rFonts w:hint="eastAsia" w:ascii="宋体" w:hAnsi="宋体" w:eastAsia="宋体" w:cs="宋体"/>
                <w:sz w:val="24"/>
                <w:szCs w:val="24"/>
              </w:rPr>
            </w:pPr>
          </w:p>
        </w:tc>
      </w:tr>
      <w:tr w14:paraId="1AE3677E">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74480F3">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10</w:t>
            </w:r>
          </w:p>
        </w:tc>
        <w:tc>
          <w:tcPr>
            <w:tcW w:w="4128" w:type="dxa"/>
            <w:tcBorders>
              <w:tl2br w:val="nil"/>
              <w:tr2bl w:val="nil"/>
            </w:tcBorders>
            <w:shd w:val="clear" w:color="auto" w:fill="auto"/>
            <w:vAlign w:val="center"/>
          </w:tcPr>
          <w:p w14:paraId="138A3667">
            <w:pPr>
              <w:spacing w:line="360" w:lineRule="auto"/>
              <w:ind w:firstLine="425"/>
              <w:jc w:val="center"/>
              <w:rPr>
                <w:rFonts w:hint="eastAsia" w:ascii="宋体" w:hAnsi="宋体" w:eastAsia="宋体" w:cs="宋体"/>
                <w:sz w:val="24"/>
                <w:szCs w:val="24"/>
              </w:rPr>
            </w:pPr>
            <w:r>
              <w:rPr>
                <w:rFonts w:hint="eastAsia" w:ascii="宋体" w:hAnsi="宋体" w:eastAsia="宋体" w:cs="宋体"/>
                <w:b/>
                <w:sz w:val="24"/>
                <w:szCs w:val="24"/>
              </w:rPr>
              <w:t>大学生的恋爱与性心理</w:t>
            </w:r>
          </w:p>
        </w:tc>
        <w:tc>
          <w:tcPr>
            <w:tcW w:w="1733" w:type="dxa"/>
            <w:tcBorders>
              <w:tl2br w:val="nil"/>
              <w:tr2bl w:val="nil"/>
            </w:tcBorders>
            <w:shd w:val="clear" w:color="auto" w:fill="auto"/>
            <w:vAlign w:val="center"/>
          </w:tcPr>
          <w:p w14:paraId="4DE39E67">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56A06F91">
            <w:pPr>
              <w:spacing w:line="360" w:lineRule="auto"/>
              <w:ind w:firstLine="425"/>
              <w:jc w:val="center"/>
              <w:rPr>
                <w:rFonts w:hint="eastAsia" w:ascii="宋体" w:hAnsi="宋体" w:eastAsia="宋体" w:cs="宋体"/>
                <w:sz w:val="24"/>
                <w:szCs w:val="24"/>
              </w:rPr>
            </w:pPr>
          </w:p>
        </w:tc>
      </w:tr>
      <w:tr w14:paraId="6522634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740B584">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11</w:t>
            </w:r>
          </w:p>
        </w:tc>
        <w:tc>
          <w:tcPr>
            <w:tcW w:w="4128" w:type="dxa"/>
            <w:tcBorders>
              <w:tl2br w:val="nil"/>
              <w:tr2bl w:val="nil"/>
            </w:tcBorders>
            <w:shd w:val="clear" w:color="auto" w:fill="auto"/>
            <w:vAlign w:val="center"/>
          </w:tcPr>
          <w:p w14:paraId="70173F80">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大学生的网络心理 </w:t>
            </w:r>
          </w:p>
        </w:tc>
        <w:tc>
          <w:tcPr>
            <w:tcW w:w="1733" w:type="dxa"/>
            <w:tcBorders>
              <w:tl2br w:val="nil"/>
              <w:tr2bl w:val="nil"/>
            </w:tcBorders>
            <w:shd w:val="clear" w:color="auto" w:fill="auto"/>
            <w:vAlign w:val="center"/>
          </w:tcPr>
          <w:p w14:paraId="51C1C214">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1E756671">
            <w:pPr>
              <w:spacing w:line="360" w:lineRule="auto"/>
              <w:ind w:firstLine="425"/>
              <w:jc w:val="center"/>
              <w:rPr>
                <w:rFonts w:hint="eastAsia" w:ascii="宋体" w:hAnsi="宋体" w:eastAsia="宋体" w:cs="宋体"/>
                <w:sz w:val="24"/>
                <w:szCs w:val="24"/>
              </w:rPr>
            </w:pPr>
          </w:p>
        </w:tc>
      </w:tr>
      <w:tr w14:paraId="4624209C">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4454659">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12</w:t>
            </w:r>
          </w:p>
        </w:tc>
        <w:tc>
          <w:tcPr>
            <w:tcW w:w="4128" w:type="dxa"/>
            <w:tcBorders>
              <w:tl2br w:val="nil"/>
              <w:tr2bl w:val="nil"/>
            </w:tcBorders>
            <w:shd w:val="clear" w:color="auto" w:fill="auto"/>
            <w:vAlign w:val="center"/>
          </w:tcPr>
          <w:p w14:paraId="425964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大学生的职业生涯规划与择业心理</w:t>
            </w:r>
          </w:p>
        </w:tc>
        <w:tc>
          <w:tcPr>
            <w:tcW w:w="1733" w:type="dxa"/>
            <w:tcBorders>
              <w:tl2br w:val="nil"/>
              <w:tr2bl w:val="nil"/>
            </w:tcBorders>
            <w:shd w:val="clear" w:color="auto" w:fill="auto"/>
            <w:vAlign w:val="center"/>
          </w:tcPr>
          <w:p w14:paraId="1C8AAE1C">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5EE487E">
            <w:pPr>
              <w:spacing w:line="360" w:lineRule="auto"/>
              <w:ind w:firstLine="425"/>
              <w:jc w:val="center"/>
              <w:rPr>
                <w:rFonts w:hint="eastAsia" w:ascii="宋体" w:hAnsi="宋体" w:eastAsia="宋体" w:cs="宋体"/>
                <w:sz w:val="24"/>
                <w:szCs w:val="24"/>
              </w:rPr>
            </w:pPr>
          </w:p>
        </w:tc>
      </w:tr>
      <w:tr w14:paraId="203C291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4A74A93A">
            <w:pPr>
              <w:spacing w:line="360" w:lineRule="auto"/>
              <w:ind w:left="-1" w:leftChars="-8" w:hanging="16" w:hangingChars="7"/>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t>合计</w:t>
            </w:r>
          </w:p>
        </w:tc>
        <w:tc>
          <w:tcPr>
            <w:tcW w:w="4128" w:type="dxa"/>
            <w:tcBorders>
              <w:tl2br w:val="nil"/>
              <w:tr2bl w:val="nil"/>
            </w:tcBorders>
            <w:shd w:val="clear" w:color="auto" w:fill="auto"/>
            <w:vAlign w:val="center"/>
          </w:tcPr>
          <w:p w14:paraId="469206D4">
            <w:pPr>
              <w:spacing w:line="360" w:lineRule="auto"/>
              <w:ind w:firstLine="425"/>
              <w:jc w:val="center"/>
              <w:rPr>
                <w:rFonts w:hint="eastAsia" w:ascii="宋体" w:hAnsi="宋体" w:eastAsia="宋体" w:cs="宋体"/>
                <w:sz w:val="24"/>
                <w:szCs w:val="24"/>
              </w:rPr>
            </w:pPr>
          </w:p>
        </w:tc>
        <w:tc>
          <w:tcPr>
            <w:tcW w:w="1733" w:type="dxa"/>
            <w:tcBorders>
              <w:tl2br w:val="nil"/>
              <w:tr2bl w:val="nil"/>
            </w:tcBorders>
            <w:shd w:val="clear" w:color="auto" w:fill="auto"/>
            <w:vAlign w:val="center"/>
          </w:tcPr>
          <w:p w14:paraId="7ABFB986">
            <w:pPr>
              <w:spacing w:line="360" w:lineRule="auto"/>
              <w:jc w:val="center"/>
              <w:rPr>
                <w:rFonts w:hint="default" w:ascii="宋体" w:hAnsi="宋体" w:eastAsia="宋体" w:cs="宋体"/>
                <w:b/>
                <w:sz w:val="24"/>
                <w:szCs w:val="24"/>
                <w:lang w:val="en-US" w:eastAsia="zh-CN"/>
              </w:rPr>
            </w:pPr>
            <w:r>
              <w:rPr>
                <w:rFonts w:hint="eastAsia" w:ascii="宋体" w:hAnsi="宋体" w:cs="宋体"/>
                <w:b/>
                <w:sz w:val="24"/>
                <w:szCs w:val="24"/>
                <w:lang w:val="en-US" w:eastAsia="zh-CN"/>
              </w:rPr>
              <w:t>36</w:t>
            </w:r>
          </w:p>
        </w:tc>
        <w:tc>
          <w:tcPr>
            <w:tcW w:w="1412" w:type="dxa"/>
            <w:tcBorders>
              <w:tl2br w:val="nil"/>
              <w:tr2bl w:val="nil"/>
            </w:tcBorders>
            <w:shd w:val="clear" w:color="auto" w:fill="auto"/>
            <w:vAlign w:val="center"/>
          </w:tcPr>
          <w:p w14:paraId="0E8AF763">
            <w:pPr>
              <w:spacing w:line="360" w:lineRule="auto"/>
              <w:ind w:firstLine="425"/>
              <w:jc w:val="center"/>
              <w:rPr>
                <w:rFonts w:hint="eastAsia" w:ascii="宋体" w:hAnsi="宋体" w:eastAsia="宋体" w:cs="宋体"/>
                <w:sz w:val="24"/>
                <w:szCs w:val="24"/>
              </w:rPr>
            </w:pPr>
          </w:p>
        </w:tc>
      </w:tr>
    </w:tbl>
    <w:p w14:paraId="71DE9FC9">
      <w:pPr>
        <w:rPr>
          <w:rFonts w:ascii="华文琥珀" w:hAnsi="Times New Roman" w:eastAsia="华文琥珀"/>
          <w:b/>
          <w:bCs/>
          <w:kern w:val="44"/>
          <w:szCs w:val="21"/>
        </w:rPr>
      </w:pPr>
    </w:p>
    <w:p w14:paraId="5557A290">
      <w:pPr>
        <w:rPr>
          <w:rFonts w:hint="eastAsia"/>
          <w:kern w:val="0"/>
          <w:sz w:val="20"/>
          <w:szCs w:val="20"/>
        </w:rPr>
      </w:pPr>
    </w:p>
    <w:p w14:paraId="3F66BD18">
      <w:pPr>
        <w:rPr>
          <w:rFonts w:hint="eastAsia"/>
          <w:kern w:val="0"/>
          <w:sz w:val="20"/>
          <w:szCs w:val="20"/>
        </w:rPr>
      </w:pPr>
      <w:r>
        <w:rPr>
          <w:rFonts w:hint="eastAsia"/>
          <w:kern w:val="0"/>
          <w:sz w:val="20"/>
          <w:szCs w:val="20"/>
        </w:rPr>
        <w:br w:type="page"/>
      </w:r>
    </w:p>
    <w:tbl>
      <w:tblPr>
        <w:tblStyle w:val="8"/>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694"/>
        <w:gridCol w:w="1267"/>
        <w:gridCol w:w="3783"/>
        <w:gridCol w:w="3894"/>
      </w:tblGrid>
      <w:tr w14:paraId="2A5F8710">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shd w:val="clear" w:color="auto" w:fill="FFE599" w:themeFill="accent4" w:themeFillTint="66"/>
            <w:vAlign w:val="center"/>
          </w:tcPr>
          <w:p w14:paraId="7A806713">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序号</w:t>
            </w:r>
          </w:p>
        </w:tc>
        <w:tc>
          <w:tcPr>
            <w:tcW w:w="1267" w:type="dxa"/>
            <w:tcBorders>
              <w:tl2br w:val="nil"/>
              <w:tr2bl w:val="nil"/>
            </w:tcBorders>
            <w:shd w:val="clear" w:color="auto" w:fill="FFE599" w:themeFill="accent4" w:themeFillTint="66"/>
            <w:vAlign w:val="center"/>
          </w:tcPr>
          <w:p w14:paraId="5054FE00">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课题</w:t>
            </w:r>
          </w:p>
        </w:tc>
        <w:tc>
          <w:tcPr>
            <w:tcW w:w="3783" w:type="dxa"/>
            <w:tcBorders>
              <w:tl2br w:val="nil"/>
              <w:tr2bl w:val="nil"/>
            </w:tcBorders>
            <w:shd w:val="clear" w:color="auto" w:fill="FFE599" w:themeFill="accent4" w:themeFillTint="66"/>
            <w:vAlign w:val="center"/>
          </w:tcPr>
          <w:p w14:paraId="4CD5F08D">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知识要求</w:t>
            </w:r>
          </w:p>
        </w:tc>
        <w:tc>
          <w:tcPr>
            <w:tcW w:w="3894" w:type="dxa"/>
            <w:tcBorders>
              <w:tl2br w:val="nil"/>
              <w:tr2bl w:val="nil"/>
            </w:tcBorders>
            <w:shd w:val="clear" w:color="auto" w:fill="FFE599" w:themeFill="accent4" w:themeFillTint="66"/>
            <w:vAlign w:val="center"/>
          </w:tcPr>
          <w:p w14:paraId="0E11FD24">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技能要求</w:t>
            </w:r>
          </w:p>
        </w:tc>
      </w:tr>
      <w:tr w14:paraId="63125E26">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6AABDE5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1</w:t>
            </w:r>
          </w:p>
        </w:tc>
        <w:tc>
          <w:tcPr>
            <w:tcW w:w="1267" w:type="dxa"/>
            <w:tcBorders>
              <w:tl2br w:val="nil"/>
              <w:tr2bl w:val="nil"/>
            </w:tcBorders>
            <w:vAlign w:val="center"/>
          </w:tcPr>
          <w:p w14:paraId="26ADE67B">
            <w:pPr>
              <w:keepNext w:val="0"/>
              <w:keepLines w:val="0"/>
              <w:pageBreakBefore w:val="0"/>
              <w:widowControl w:val="0"/>
              <w:kinsoku/>
              <w:wordWrap/>
              <w:overflowPunct/>
              <w:topLinePunct w:val="0"/>
              <w:autoSpaceDE/>
              <w:autoSpaceDN/>
              <w:bidi w:val="0"/>
              <w:adjustRightInd/>
              <w:snapToGrid/>
              <w:spacing w:line="288" w:lineRule="auto"/>
              <w:ind w:left="0" w:leftChars="0"/>
              <w:jc w:val="left"/>
              <w:textAlignment w:val="auto"/>
              <w:rPr>
                <w:rFonts w:ascii="宋体" w:hAnsi="宋体" w:cs="宋体"/>
                <w:color w:val="000000"/>
                <w:kern w:val="0"/>
                <w:sz w:val="21"/>
                <w:szCs w:val="21"/>
              </w:rPr>
            </w:pPr>
            <w:r>
              <w:rPr>
                <w:rFonts w:hint="eastAsia"/>
              </w:rPr>
              <w:t>走进心理健康</w:t>
            </w:r>
            <w:r>
              <w:rPr>
                <w:rFonts w:hint="eastAsia" w:ascii="宋体" w:hAnsi="宋体" w:cs="宋体"/>
                <w:kern w:val="0"/>
                <w:sz w:val="21"/>
                <w:szCs w:val="21"/>
              </w:rPr>
              <w:t> </w:t>
            </w:r>
          </w:p>
        </w:tc>
        <w:tc>
          <w:tcPr>
            <w:tcW w:w="3783" w:type="dxa"/>
            <w:tcBorders>
              <w:tl2br w:val="nil"/>
              <w:tr2bl w:val="nil"/>
            </w:tcBorders>
            <w:vAlign w:val="center"/>
          </w:tcPr>
          <w:p w14:paraId="2FEF080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掌握心理健康的概念。 </w:t>
            </w:r>
          </w:p>
          <w:p w14:paraId="319864F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理解大学生心理健康的标准和主要影响因素。</w:t>
            </w:r>
          </w:p>
        </w:tc>
        <w:tc>
          <w:tcPr>
            <w:tcW w:w="3894" w:type="dxa"/>
            <w:tcBorders>
              <w:tl2br w:val="nil"/>
              <w:tr2bl w:val="nil"/>
            </w:tcBorders>
            <w:vAlign w:val="center"/>
          </w:tcPr>
          <w:p w14:paraId="00F27EC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掌握增强大学生心理健康的方法。</w:t>
            </w:r>
          </w:p>
          <w:p w14:paraId="68A186CF">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提高其心理调节能力，遇到问题懂得主动求助。</w:t>
            </w:r>
          </w:p>
        </w:tc>
      </w:tr>
      <w:tr w14:paraId="7D39C49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1CDED5D3">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2</w:t>
            </w:r>
          </w:p>
        </w:tc>
        <w:tc>
          <w:tcPr>
            <w:tcW w:w="1267" w:type="dxa"/>
            <w:tcBorders>
              <w:tl2br w:val="nil"/>
              <w:tr2bl w:val="nil"/>
            </w:tcBorders>
            <w:vAlign w:val="center"/>
          </w:tcPr>
          <w:p w14:paraId="65329BA2">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新生入学适应</w:t>
            </w:r>
          </w:p>
        </w:tc>
        <w:tc>
          <w:tcPr>
            <w:tcW w:w="3783" w:type="dxa"/>
            <w:tcBorders>
              <w:tl2br w:val="nil"/>
              <w:tr2bl w:val="nil"/>
            </w:tcBorders>
            <w:vAlign w:val="center"/>
          </w:tcPr>
          <w:p w14:paraId="71D7440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理解适应的概念。</w:t>
            </w:r>
          </w:p>
          <w:p w14:paraId="39CE162B">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了解大学生活需要适应的内容。</w:t>
            </w:r>
          </w:p>
        </w:tc>
        <w:tc>
          <w:tcPr>
            <w:tcW w:w="3894" w:type="dxa"/>
            <w:tcBorders>
              <w:tl2br w:val="nil"/>
              <w:tr2bl w:val="nil"/>
            </w:tcBorders>
            <w:vAlign w:val="center"/>
          </w:tcPr>
          <w:p w14:paraId="61A8C7C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学会管理日常生活，树立新的学习目标，提高人际交往能力。</w:t>
            </w:r>
          </w:p>
        </w:tc>
      </w:tr>
      <w:tr w14:paraId="1186562C">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1043" w:hRule="atLeast"/>
          <w:jc w:val="center"/>
        </w:trPr>
        <w:tc>
          <w:tcPr>
            <w:tcW w:w="694" w:type="dxa"/>
            <w:tcBorders>
              <w:tl2br w:val="nil"/>
              <w:tr2bl w:val="nil"/>
            </w:tcBorders>
            <w:vAlign w:val="center"/>
          </w:tcPr>
          <w:p w14:paraId="52605105">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3</w:t>
            </w:r>
          </w:p>
        </w:tc>
        <w:tc>
          <w:tcPr>
            <w:tcW w:w="1267" w:type="dxa"/>
            <w:tcBorders>
              <w:tl2br w:val="nil"/>
              <w:tr2bl w:val="nil"/>
            </w:tcBorders>
            <w:vAlign w:val="center"/>
          </w:tcPr>
          <w:p w14:paraId="1CC74B14">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大学生学习心理</w:t>
            </w:r>
          </w:p>
        </w:tc>
        <w:tc>
          <w:tcPr>
            <w:tcW w:w="3783" w:type="dxa"/>
            <w:tcBorders>
              <w:tl2br w:val="nil"/>
              <w:tr2bl w:val="nil"/>
            </w:tcBorders>
            <w:vAlign w:val="center"/>
          </w:tcPr>
          <w:p w14:paraId="60927507">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掌握大学与中学学习的差异性。</w:t>
            </w:r>
          </w:p>
          <w:p w14:paraId="1D33A4E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了解学习心理相关知识</w:t>
            </w:r>
            <w:r>
              <w:rPr>
                <w:rFonts w:hint="eastAsia" w:ascii="宋体" w:hAnsi="宋体" w:cs="宋体"/>
                <w:kern w:val="0"/>
                <w:sz w:val="21"/>
                <w:szCs w:val="21"/>
                <w:lang w:eastAsia="zh-CN"/>
              </w:rPr>
              <w:t>。</w:t>
            </w:r>
          </w:p>
        </w:tc>
        <w:tc>
          <w:tcPr>
            <w:tcW w:w="3894" w:type="dxa"/>
            <w:tcBorders>
              <w:tl2br w:val="nil"/>
              <w:tr2bl w:val="nil"/>
            </w:tcBorders>
            <w:vAlign w:val="center"/>
          </w:tcPr>
          <w:p w14:paraId="16FB9392">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形成良好的学习习惯，提高自主学习能力。</w:t>
            </w:r>
          </w:p>
        </w:tc>
      </w:tr>
      <w:tr w14:paraId="6B7F360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5E62866C">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4</w:t>
            </w:r>
          </w:p>
        </w:tc>
        <w:tc>
          <w:tcPr>
            <w:tcW w:w="1267" w:type="dxa"/>
            <w:tcBorders>
              <w:tl2br w:val="nil"/>
              <w:tr2bl w:val="nil"/>
            </w:tcBorders>
            <w:vAlign w:val="center"/>
          </w:tcPr>
          <w:p w14:paraId="120B6FC7">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大学生生命教育与心理危机干预</w:t>
            </w:r>
          </w:p>
        </w:tc>
        <w:tc>
          <w:tcPr>
            <w:tcW w:w="3783" w:type="dxa"/>
            <w:tcBorders>
              <w:tl2br w:val="nil"/>
              <w:tr2bl w:val="nil"/>
            </w:tcBorders>
            <w:vAlign w:val="center"/>
          </w:tcPr>
          <w:p w14:paraId="13DB036F">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理解生命的含义、特点。</w:t>
            </w:r>
          </w:p>
          <w:p w14:paraId="04F01A64">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掌握心理危机干预相关理论知识。</w:t>
            </w:r>
          </w:p>
        </w:tc>
        <w:tc>
          <w:tcPr>
            <w:tcW w:w="3894" w:type="dxa"/>
            <w:tcBorders>
              <w:tl2br w:val="nil"/>
              <w:tr2bl w:val="nil"/>
            </w:tcBorders>
            <w:vAlign w:val="center"/>
          </w:tcPr>
          <w:p w14:paraId="19D100B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遇到心理危机时懂得如何自助，学会帮助处于心理危机中的他人。</w:t>
            </w:r>
          </w:p>
        </w:tc>
      </w:tr>
      <w:tr w14:paraId="61BE1EC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680C47A4">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5</w:t>
            </w:r>
          </w:p>
        </w:tc>
        <w:tc>
          <w:tcPr>
            <w:tcW w:w="1267" w:type="dxa"/>
            <w:tcBorders>
              <w:tl2br w:val="nil"/>
              <w:tr2bl w:val="nil"/>
            </w:tcBorders>
            <w:vAlign w:val="center"/>
          </w:tcPr>
          <w:p w14:paraId="4341EA2E">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kern w:val="0"/>
                <w:sz w:val="21"/>
                <w:szCs w:val="21"/>
              </w:rPr>
            </w:pPr>
            <w:r>
              <w:rPr>
                <w:rFonts w:hint="eastAsia" w:ascii="宋体" w:hAnsi="宋体" w:cs="宋体"/>
                <w:kern w:val="0"/>
                <w:sz w:val="21"/>
                <w:szCs w:val="21"/>
              </w:rPr>
              <w:t>精神障碍的识别与预防</w:t>
            </w:r>
          </w:p>
        </w:tc>
        <w:tc>
          <w:tcPr>
            <w:tcW w:w="3783" w:type="dxa"/>
            <w:tcBorders>
              <w:tl2br w:val="nil"/>
              <w:tr2bl w:val="nil"/>
            </w:tcBorders>
            <w:vAlign w:val="center"/>
          </w:tcPr>
          <w:p w14:paraId="070D014B">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了解常见精神障碍的具体表现。</w:t>
            </w:r>
          </w:p>
        </w:tc>
        <w:tc>
          <w:tcPr>
            <w:tcW w:w="3894" w:type="dxa"/>
            <w:tcBorders>
              <w:tl2br w:val="nil"/>
              <w:tr2bl w:val="nil"/>
            </w:tcBorders>
            <w:vAlign w:val="center"/>
          </w:tcPr>
          <w:p w14:paraId="4E21BD7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eastAsia="宋体" w:cs="宋体"/>
                <w:spacing w:val="20"/>
                <w:kern w:val="0"/>
                <w:sz w:val="21"/>
                <w:szCs w:val="21"/>
              </w:rPr>
              <w:t>学会识别精神障碍，掌握预防精神障碍的基本方法。</w:t>
            </w:r>
          </w:p>
        </w:tc>
      </w:tr>
      <w:tr w14:paraId="143FBF61">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0449F77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6</w:t>
            </w:r>
          </w:p>
        </w:tc>
        <w:tc>
          <w:tcPr>
            <w:tcW w:w="1267" w:type="dxa"/>
            <w:tcBorders>
              <w:tl2br w:val="nil"/>
              <w:tr2bl w:val="nil"/>
            </w:tcBorders>
            <w:vAlign w:val="center"/>
          </w:tcPr>
          <w:p w14:paraId="11C2617C">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kern w:val="0"/>
                <w:sz w:val="21"/>
                <w:szCs w:val="21"/>
              </w:rPr>
            </w:pPr>
            <w:r>
              <w:rPr>
                <w:rFonts w:hint="eastAsia" w:ascii="宋体" w:hAnsi="宋体" w:cs="宋体"/>
                <w:kern w:val="0"/>
                <w:sz w:val="21"/>
                <w:szCs w:val="21"/>
              </w:rPr>
              <w:t>大学生的自我意识</w:t>
            </w:r>
          </w:p>
        </w:tc>
        <w:tc>
          <w:tcPr>
            <w:tcW w:w="3783" w:type="dxa"/>
            <w:tcBorders>
              <w:tl2br w:val="nil"/>
              <w:tr2bl w:val="nil"/>
            </w:tcBorders>
            <w:vAlign w:val="center"/>
          </w:tcPr>
          <w:p w14:paraId="0FA19D1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了解自我意识的含义与结构、自我意识的毕生发展过程、大学生自我意识发展的特点。</w:t>
            </w:r>
          </w:p>
        </w:tc>
        <w:tc>
          <w:tcPr>
            <w:tcW w:w="3894" w:type="dxa"/>
            <w:tcBorders>
              <w:tl2br w:val="nil"/>
              <w:tr2bl w:val="nil"/>
            </w:tcBorders>
            <w:vAlign w:val="center"/>
          </w:tcPr>
          <w:p w14:paraId="064E8E6E">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能够识别在自我意识发展过程中出现的偏差，并能够对其进行调适。</w:t>
            </w:r>
          </w:p>
        </w:tc>
      </w:tr>
      <w:tr w14:paraId="170B53C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134B834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7</w:t>
            </w:r>
          </w:p>
        </w:tc>
        <w:tc>
          <w:tcPr>
            <w:tcW w:w="1267" w:type="dxa"/>
            <w:tcBorders>
              <w:tl2br w:val="nil"/>
              <w:tr2bl w:val="nil"/>
            </w:tcBorders>
            <w:vAlign w:val="center"/>
          </w:tcPr>
          <w:p w14:paraId="09468FF3">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kern w:val="0"/>
                <w:sz w:val="21"/>
                <w:szCs w:val="21"/>
              </w:rPr>
            </w:pPr>
            <w:r>
              <w:rPr>
                <w:rFonts w:hint="eastAsia" w:ascii="宋体" w:hAnsi="宋体" w:cs="宋体"/>
                <w:kern w:val="0"/>
                <w:sz w:val="21"/>
                <w:szCs w:val="21"/>
              </w:rPr>
              <w:t>大学生的人格发展</w:t>
            </w:r>
          </w:p>
        </w:tc>
        <w:tc>
          <w:tcPr>
            <w:tcW w:w="3783" w:type="dxa"/>
            <w:tcBorders>
              <w:tl2br w:val="nil"/>
              <w:tr2bl w:val="nil"/>
            </w:tcBorders>
            <w:vAlign w:val="center"/>
          </w:tcPr>
          <w:p w14:paraId="142C3F0A">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掌握人格的概念、特征及其影响因素。</w:t>
            </w:r>
          </w:p>
          <w:p w14:paraId="7D54A23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了解大学生常见的人格障碍类型。</w:t>
            </w:r>
          </w:p>
          <w:p w14:paraId="7E8A0BEA">
            <w:pPr>
              <w:keepNext w:val="0"/>
              <w:keepLines w:val="0"/>
              <w:pageBreakBefore w:val="0"/>
              <w:widowControl w:val="0"/>
              <w:numPr>
                <w:ilvl w:val="0"/>
                <w:numId w:val="0"/>
              </w:numPr>
              <w:tabs>
                <w:tab w:val="left" w:pos="252"/>
              </w:tabs>
              <w:kinsoku/>
              <w:wordWrap/>
              <w:overflowPunct/>
              <w:topLinePunct w:val="0"/>
              <w:autoSpaceDE/>
              <w:autoSpaceDN/>
              <w:bidi w:val="0"/>
              <w:adjustRightInd/>
              <w:snapToGrid/>
              <w:spacing w:line="288" w:lineRule="auto"/>
              <w:ind w:left="0" w:leftChars="0"/>
              <w:textAlignment w:val="auto"/>
              <w:rPr>
                <w:rFonts w:ascii="宋体" w:hAnsi="宋体" w:cs="宋体"/>
                <w:color w:val="333333"/>
                <w:kern w:val="0"/>
                <w:sz w:val="21"/>
                <w:szCs w:val="21"/>
              </w:rPr>
            </w:pPr>
          </w:p>
        </w:tc>
        <w:tc>
          <w:tcPr>
            <w:tcW w:w="3894" w:type="dxa"/>
            <w:tcBorders>
              <w:tl2br w:val="nil"/>
              <w:tr2bl w:val="nil"/>
            </w:tcBorders>
            <w:vAlign w:val="center"/>
          </w:tcPr>
          <w:p w14:paraId="74ADD197">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eastAsia="宋体" w:cs="宋体"/>
                <w:spacing w:val="20"/>
                <w:kern w:val="0"/>
                <w:sz w:val="21"/>
                <w:szCs w:val="21"/>
              </w:rPr>
              <w:t>正确看待自己以及他人的气质和性格特点，能与不同气质类型和性格特征的人和谐共处。</w:t>
            </w:r>
          </w:p>
        </w:tc>
      </w:tr>
      <w:tr w14:paraId="4B0443AA">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7E14898B">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8</w:t>
            </w:r>
          </w:p>
        </w:tc>
        <w:tc>
          <w:tcPr>
            <w:tcW w:w="1267" w:type="dxa"/>
            <w:tcBorders>
              <w:tl2br w:val="nil"/>
              <w:tr2bl w:val="nil"/>
            </w:tcBorders>
            <w:vAlign w:val="center"/>
          </w:tcPr>
          <w:p w14:paraId="1974465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kern w:val="0"/>
                <w:sz w:val="21"/>
                <w:szCs w:val="21"/>
              </w:rPr>
            </w:pPr>
            <w:r>
              <w:rPr>
                <w:rFonts w:hint="eastAsia" w:ascii="宋体" w:hAnsi="宋体" w:cs="宋体"/>
                <w:kern w:val="0"/>
                <w:sz w:val="21"/>
                <w:szCs w:val="21"/>
              </w:rPr>
              <w:t>大学生的情绪管理</w:t>
            </w:r>
          </w:p>
        </w:tc>
        <w:tc>
          <w:tcPr>
            <w:tcW w:w="3783" w:type="dxa"/>
            <w:tcBorders>
              <w:tl2br w:val="nil"/>
              <w:tr2bl w:val="nil"/>
            </w:tcBorders>
            <w:vAlign w:val="center"/>
          </w:tcPr>
          <w:p w14:paraId="68AFF605">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掌握情绪的概念，认识情绪的表现形式和情绪种类。</w:t>
            </w:r>
          </w:p>
        </w:tc>
        <w:tc>
          <w:tcPr>
            <w:tcW w:w="3894" w:type="dxa"/>
            <w:tcBorders>
              <w:tl2br w:val="nil"/>
              <w:tr2bl w:val="nil"/>
            </w:tcBorders>
            <w:vAlign w:val="center"/>
          </w:tcPr>
          <w:p w14:paraId="0714F52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学会调节负面情绪，在生活、学习、工作中管理好自己的情绪，提高自己的情商指数。</w:t>
            </w:r>
          </w:p>
        </w:tc>
      </w:tr>
      <w:tr w14:paraId="174D6EE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4A1561A2">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9</w:t>
            </w:r>
          </w:p>
        </w:tc>
        <w:tc>
          <w:tcPr>
            <w:tcW w:w="1267" w:type="dxa"/>
            <w:tcBorders>
              <w:tl2br w:val="nil"/>
              <w:tr2bl w:val="nil"/>
            </w:tcBorders>
            <w:vAlign w:val="center"/>
          </w:tcPr>
          <w:p w14:paraId="372AF405">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color w:val="000000"/>
                <w:kern w:val="0"/>
                <w:sz w:val="21"/>
                <w:szCs w:val="21"/>
              </w:rPr>
            </w:pPr>
            <w:r>
              <w:rPr>
                <w:rFonts w:hint="eastAsia" w:ascii="宋体" w:hAnsi="宋体" w:cs="宋体"/>
                <w:kern w:val="0"/>
                <w:sz w:val="21"/>
                <w:szCs w:val="21"/>
              </w:rPr>
              <w:t>大学生的人际交往</w:t>
            </w:r>
          </w:p>
        </w:tc>
        <w:tc>
          <w:tcPr>
            <w:tcW w:w="3783" w:type="dxa"/>
            <w:tcBorders>
              <w:tl2br w:val="nil"/>
              <w:tr2bl w:val="nil"/>
            </w:tcBorders>
            <w:vAlign w:val="center"/>
          </w:tcPr>
          <w:p w14:paraId="2ABB77A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eastAsia="宋体" w:cs="宋体"/>
                <w:kern w:val="0"/>
                <w:sz w:val="21"/>
                <w:szCs w:val="21"/>
                <w:lang w:eastAsia="zh-CN"/>
              </w:rPr>
            </w:pPr>
            <w:r>
              <w:rPr>
                <w:rFonts w:hint="eastAsia" w:ascii="宋体" w:hAnsi="宋体" w:cs="宋体"/>
                <w:kern w:val="0"/>
                <w:sz w:val="21"/>
                <w:szCs w:val="21"/>
              </w:rPr>
              <w:t>●了解大学生人际交往活动中常见的问题。</w:t>
            </w:r>
          </w:p>
          <w:p w14:paraId="7BF4876C">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●掌握大学生人际交往的影响因素以及人际交往的原则和技巧。</w:t>
            </w:r>
          </w:p>
        </w:tc>
        <w:tc>
          <w:tcPr>
            <w:tcW w:w="3894" w:type="dxa"/>
            <w:tcBorders>
              <w:tl2br w:val="nil"/>
              <w:tr2bl w:val="nil"/>
            </w:tcBorders>
            <w:vAlign w:val="center"/>
          </w:tcPr>
          <w:p w14:paraId="13957750">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能够将人际交往相关知识应用于现实交往活动中，学会更好地与人交往，收获良好的人际关系。</w:t>
            </w:r>
          </w:p>
        </w:tc>
      </w:tr>
      <w:tr w14:paraId="2824A00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0C64A2DC">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10</w:t>
            </w:r>
          </w:p>
        </w:tc>
        <w:tc>
          <w:tcPr>
            <w:tcW w:w="1267" w:type="dxa"/>
            <w:tcBorders>
              <w:tl2br w:val="nil"/>
              <w:tr2bl w:val="nil"/>
            </w:tcBorders>
            <w:vAlign w:val="center"/>
          </w:tcPr>
          <w:p w14:paraId="61806A1E">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大学生的恋爱与性心理</w:t>
            </w:r>
          </w:p>
        </w:tc>
        <w:tc>
          <w:tcPr>
            <w:tcW w:w="3783" w:type="dxa"/>
            <w:tcBorders>
              <w:tl2br w:val="nil"/>
              <w:tr2bl w:val="nil"/>
            </w:tcBorders>
            <w:vAlign w:val="center"/>
          </w:tcPr>
          <w:p w14:paraId="33B78742">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●掌握爱情的含义、爱情的理论。</w:t>
            </w:r>
          </w:p>
        </w:tc>
        <w:tc>
          <w:tcPr>
            <w:tcW w:w="3894" w:type="dxa"/>
            <w:tcBorders>
              <w:tl2br w:val="nil"/>
              <w:tr2bl w:val="nil"/>
            </w:tcBorders>
            <w:vAlign w:val="center"/>
          </w:tcPr>
          <w:p w14:paraId="2194C35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spacing w:val="23"/>
                <w:kern w:val="0"/>
                <w:sz w:val="21"/>
                <w:szCs w:val="21"/>
              </w:rPr>
              <w:t>培养大学生表达爱、拒绝爱的能力。</w:t>
            </w:r>
          </w:p>
        </w:tc>
      </w:tr>
      <w:tr w14:paraId="00E4C6A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33381F3A">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11</w:t>
            </w:r>
          </w:p>
        </w:tc>
        <w:tc>
          <w:tcPr>
            <w:tcW w:w="1267" w:type="dxa"/>
            <w:tcBorders>
              <w:tl2br w:val="nil"/>
              <w:tr2bl w:val="nil"/>
            </w:tcBorders>
            <w:vAlign w:val="center"/>
          </w:tcPr>
          <w:p w14:paraId="2A2812A8">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大学生的网络心理</w:t>
            </w:r>
          </w:p>
        </w:tc>
        <w:tc>
          <w:tcPr>
            <w:tcW w:w="3783" w:type="dxa"/>
            <w:tcBorders>
              <w:tl2br w:val="nil"/>
              <w:tr2bl w:val="nil"/>
            </w:tcBorders>
            <w:vAlign w:val="center"/>
          </w:tcPr>
          <w:p w14:paraId="3CCFA86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●了解网络成瘾、网络暴力和网络诈骗的含义。</w:t>
            </w:r>
          </w:p>
          <w:p w14:paraId="422800D4">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●掌握网络成瘾的防治对策。</w:t>
            </w:r>
          </w:p>
        </w:tc>
        <w:tc>
          <w:tcPr>
            <w:tcW w:w="3894" w:type="dxa"/>
            <w:tcBorders>
              <w:tl2br w:val="nil"/>
              <w:tr2bl w:val="nil"/>
            </w:tcBorders>
            <w:vAlign w:val="center"/>
          </w:tcPr>
          <w:p w14:paraId="4B00F99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spacing w:val="20"/>
                <w:kern w:val="0"/>
                <w:sz w:val="21"/>
                <w:szCs w:val="21"/>
              </w:rPr>
              <w:t>科学对待网络，合理安排上网时间，积极参加社会实践活动。</w:t>
            </w:r>
          </w:p>
        </w:tc>
      </w:tr>
      <w:tr w14:paraId="60EA8C4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451C0086">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12</w:t>
            </w:r>
          </w:p>
        </w:tc>
        <w:tc>
          <w:tcPr>
            <w:tcW w:w="1267" w:type="dxa"/>
            <w:tcBorders>
              <w:tl2br w:val="nil"/>
              <w:tr2bl w:val="nil"/>
            </w:tcBorders>
            <w:vAlign w:val="center"/>
          </w:tcPr>
          <w:p w14:paraId="24F9644C">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大学生的职业生涯规划与择业心理</w:t>
            </w:r>
          </w:p>
        </w:tc>
        <w:tc>
          <w:tcPr>
            <w:tcW w:w="3783" w:type="dxa"/>
            <w:tcBorders>
              <w:tl2br w:val="nil"/>
              <w:tr2bl w:val="nil"/>
            </w:tcBorders>
            <w:vAlign w:val="center"/>
          </w:tcPr>
          <w:p w14:paraId="751F0C11">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●掌握职业生涯概念、理解职业生涯发展阶段。</w:t>
            </w:r>
          </w:p>
          <w:p w14:paraId="33F93730">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●了解大学生在面对择业时常见的心理状态。</w:t>
            </w:r>
          </w:p>
        </w:tc>
        <w:tc>
          <w:tcPr>
            <w:tcW w:w="3894" w:type="dxa"/>
            <w:tcBorders>
              <w:tl2br w:val="nil"/>
              <w:tr2bl w:val="nil"/>
            </w:tcBorders>
            <w:vAlign w:val="center"/>
          </w:tcPr>
          <w:p w14:paraId="52BE187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kern w:val="0"/>
                <w:sz w:val="21"/>
                <w:szCs w:val="21"/>
              </w:rPr>
              <w:t>提升学生自我认知水平，能够科学、客观地评价自我。</w:t>
            </w:r>
          </w:p>
        </w:tc>
      </w:tr>
    </w:tbl>
    <w:p w14:paraId="02542139">
      <w:pPr>
        <w:keepNext w:val="0"/>
        <w:keepLines w:val="0"/>
        <w:pageBreakBefore w:val="0"/>
        <w:widowControl w:val="0"/>
        <w:kinsoku/>
        <w:wordWrap/>
        <w:overflowPunct/>
        <w:topLinePunct w:val="0"/>
        <w:autoSpaceDE/>
        <w:autoSpaceDN/>
        <w:bidi w:val="0"/>
        <w:adjustRightInd/>
        <w:snapToGrid/>
        <w:spacing w:line="240" w:lineRule="auto"/>
        <w:ind w:left="0" w:leftChars="0" w:firstLine="2530" w:firstLineChars="1200"/>
        <w:textAlignment w:val="auto"/>
        <w:rPr>
          <w:rFonts w:ascii="Times New Roman" w:hAnsi="Times New Roman"/>
          <w:b/>
          <w:bCs/>
          <w:kern w:val="44"/>
          <w:sz w:val="21"/>
          <w:szCs w:val="21"/>
        </w:rPr>
        <w:sectPr>
          <w:headerReference r:id="rId7" w:type="first"/>
          <w:footerReference r:id="rId9" w:type="first"/>
          <w:headerReference r:id="rId6" w:type="default"/>
          <w:footerReference r:id="rId8" w:type="default"/>
          <w:pgSz w:w="11906" w:h="16838"/>
          <w:pgMar w:top="1134" w:right="850" w:bottom="1134" w:left="850" w:header="0" w:footer="0" w:gutter="0"/>
          <w:pgBorders>
            <w:top w:val="none" w:sz="0" w:space="0"/>
            <w:left w:val="none" w:sz="0" w:space="0"/>
            <w:bottom w:val="none" w:sz="0" w:space="0"/>
            <w:right w:val="none" w:sz="0" w:space="0"/>
          </w:pgBorders>
          <w:cols w:space="720" w:num="1"/>
          <w:titlePg/>
          <w:docGrid w:type="lines" w:linePitch="312" w:charSpace="0"/>
        </w:sectPr>
      </w:pPr>
    </w:p>
    <w:p w14:paraId="216AF25E">
      <w:pPr>
        <w:keepNext/>
        <w:keepLines/>
        <w:pageBreakBefore w:val="0"/>
        <w:widowControl w:val="0"/>
        <w:kinsoku/>
        <w:wordWrap/>
        <w:overflowPunct/>
        <w:topLinePunct w:val="0"/>
        <w:autoSpaceDE/>
        <w:autoSpaceDN/>
        <w:bidi w:val="0"/>
        <w:adjustRightInd/>
        <w:snapToGrid/>
        <w:spacing w:after="157" w:afterLines="50" w:line="360" w:lineRule="auto"/>
        <w:jc w:val="center"/>
        <w:textAlignment w:val="auto"/>
        <w:outlineLvl w:val="1"/>
        <w:rPr>
          <w:rFonts w:hint="eastAsia" w:ascii="黑体" w:hAnsi="黑体" w:eastAsia="黑体" w:cs="黑体"/>
          <w:b/>
          <w:bCs/>
          <w:color w:val="843C0B" w:themeColor="accent2" w:themeShade="80"/>
          <w:sz w:val="32"/>
          <w:szCs w:val="32"/>
        </w:rPr>
      </w:pPr>
      <w:r>
        <w:rPr>
          <w:rFonts w:hint="eastAsia" w:ascii="黑体" w:hAnsi="黑体" w:eastAsia="黑体" w:cs="黑体"/>
          <w:b/>
          <w:bCs/>
          <w:color w:val="843C0B" w:themeColor="accent2" w:themeShade="80"/>
          <w:sz w:val="32"/>
          <w:szCs w:val="32"/>
        </w:rPr>
        <w:t>第1</w:t>
      </w:r>
      <w:r>
        <w:rPr>
          <w:rFonts w:hint="eastAsia" w:ascii="黑体" w:hAnsi="黑体" w:eastAsia="黑体" w:cs="黑体"/>
          <w:b/>
          <w:bCs/>
          <w:color w:val="843C0B" w:themeColor="accent2" w:themeShade="80"/>
          <w:sz w:val="32"/>
          <w:szCs w:val="32"/>
          <w:lang w:val="en-US" w:eastAsia="zh-CN"/>
        </w:rPr>
        <w:t>2</w:t>
      </w:r>
      <w:r>
        <w:rPr>
          <w:rFonts w:hint="eastAsia" w:ascii="黑体" w:hAnsi="黑体" w:eastAsia="黑体" w:cs="黑体"/>
          <w:b/>
          <w:bCs/>
          <w:color w:val="843C0B" w:themeColor="accent2" w:themeShade="80"/>
          <w:sz w:val="32"/>
          <w:szCs w:val="32"/>
        </w:rPr>
        <w:t>课  大学生的职业生涯规划与择业心理</w:t>
      </w:r>
    </w:p>
    <w:tbl>
      <w:tblPr>
        <w:tblStyle w:val="7"/>
        <w:tblW w:w="9638"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453"/>
        <w:gridCol w:w="6658"/>
        <w:gridCol w:w="1527"/>
      </w:tblGrid>
      <w:tr w14:paraId="6D9CDE8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bottom w:val="dashSmallGap" w:color="FFD965" w:themeColor="accent4" w:themeTint="99" w:sz="4" w:space="0"/>
              <w:right w:val="dashSmallGap" w:color="FFD965" w:themeColor="accent4" w:themeTint="99" w:sz="4" w:space="0"/>
            </w:tcBorders>
            <w:shd w:val="clear" w:color="auto" w:fill="FEF2CC" w:themeFill="accent4" w:themeFillTint="32"/>
            <w:vAlign w:val="center"/>
          </w:tcPr>
          <w:p w14:paraId="5E681B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题</w:t>
            </w:r>
          </w:p>
        </w:tc>
        <w:tc>
          <w:tcPr>
            <w:tcW w:w="8185" w:type="dxa"/>
            <w:gridSpan w:val="2"/>
            <w:tcBorders>
              <w:left w:val="dashSmallGap" w:color="FFD965" w:themeColor="accent4" w:themeTint="99" w:sz="4" w:space="0"/>
              <w:bottom w:val="dashSmallGap" w:color="FFD965" w:themeColor="accent4" w:themeTint="99" w:sz="4" w:space="0"/>
            </w:tcBorders>
            <w:shd w:val="clear" w:color="auto" w:fill="FFFFF1"/>
            <w:vAlign w:val="center"/>
          </w:tcPr>
          <w:p w14:paraId="38E205C2">
            <w:pPr>
              <w:spacing w:line="360" w:lineRule="auto"/>
              <w:ind w:hanging="8"/>
              <w:rPr>
                <w:rFonts w:ascii="Times New Roman" w:hAnsi="Times New Roman"/>
                <w:szCs w:val="20"/>
              </w:rPr>
            </w:pPr>
            <w:r>
              <w:rPr>
                <w:rFonts w:hint="eastAsia" w:ascii="Times New Roman" w:hAnsi="宋体"/>
                <w:szCs w:val="20"/>
              </w:rPr>
              <w:t>大学生的职业生涯规划与择业心理</w:t>
            </w:r>
          </w:p>
        </w:tc>
      </w:tr>
      <w:tr w14:paraId="0174A0D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FD965" w:themeColor="accent4" w:themeTint="99" w:sz="4" w:space="0"/>
              <w:bottom w:val="dashSmallGap" w:color="A8D08D" w:themeColor="accent6" w:themeTint="99" w:sz="4" w:space="0"/>
              <w:right w:val="dashSmallGap" w:color="FFD965" w:themeColor="accent4" w:themeTint="99" w:sz="4" w:space="0"/>
            </w:tcBorders>
            <w:shd w:val="clear" w:color="auto" w:fill="FEF2CC" w:themeFill="accent4" w:themeFillTint="32"/>
            <w:vAlign w:val="center"/>
          </w:tcPr>
          <w:p w14:paraId="48D5C45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时</w:t>
            </w:r>
          </w:p>
        </w:tc>
        <w:tc>
          <w:tcPr>
            <w:tcW w:w="8185" w:type="dxa"/>
            <w:gridSpan w:val="2"/>
            <w:tcBorders>
              <w:top w:val="dashSmallGap" w:color="FFD965" w:themeColor="accent4" w:themeTint="99" w:sz="4" w:space="0"/>
              <w:left w:val="dashSmallGap" w:color="FFD965" w:themeColor="accent4" w:themeTint="99" w:sz="4" w:space="0"/>
              <w:bottom w:val="dashSmallGap" w:color="A8D08D" w:themeColor="accent6" w:themeTint="99" w:sz="4" w:space="0"/>
            </w:tcBorders>
            <w:shd w:val="clear" w:color="auto" w:fill="FFFFF1"/>
            <w:vAlign w:val="center"/>
          </w:tcPr>
          <w:p w14:paraId="47124F82">
            <w:pPr>
              <w:spacing w:line="360" w:lineRule="auto"/>
              <w:ind w:hanging="8"/>
              <w:rPr>
                <w:rFonts w:ascii="Times New Roman" w:hAnsi="Times New Roman"/>
                <w:szCs w:val="20"/>
              </w:rPr>
            </w:pPr>
            <w:r>
              <w:rPr>
                <w:rFonts w:hint="eastAsia" w:ascii="Times New Roman" w:hAnsi="Times New Roman"/>
                <w:szCs w:val="20"/>
                <w:lang w:val="en-US" w:eastAsia="zh-CN"/>
              </w:rPr>
              <w:t>3</w:t>
            </w:r>
            <w:r>
              <w:rPr>
                <w:rFonts w:ascii="Times New Roman" w:hAnsi="宋体"/>
                <w:szCs w:val="20"/>
              </w:rPr>
              <w:t>课时</w:t>
            </w:r>
            <w:r>
              <w:rPr>
                <w:rFonts w:hint="eastAsia" w:ascii="Times New Roman" w:hAnsi="宋体"/>
                <w:szCs w:val="20"/>
              </w:rPr>
              <w:t>（</w:t>
            </w:r>
            <w:r>
              <w:rPr>
                <w:rFonts w:hint="eastAsia" w:ascii="Times New Roman" w:hAnsi="宋体"/>
                <w:szCs w:val="20"/>
                <w:lang w:val="en-US" w:eastAsia="zh-CN"/>
              </w:rPr>
              <w:t>135</w:t>
            </w:r>
            <w:r>
              <w:rPr>
                <w:rFonts w:hint="eastAsia" w:ascii="Times New Roman" w:hAnsi="宋体"/>
                <w:szCs w:val="20"/>
              </w:rPr>
              <w:t xml:space="preserve"> min）。</w:t>
            </w:r>
          </w:p>
        </w:tc>
      </w:tr>
      <w:tr w14:paraId="64ED9BF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A8D08D" w:themeColor="accent6" w:themeTint="99" w:sz="4" w:space="0"/>
              <w:right w:val="dashSmallGap" w:color="A8D08D" w:themeColor="accent6" w:themeTint="99" w:sz="4" w:space="0"/>
            </w:tcBorders>
            <w:shd w:val="clear" w:color="auto" w:fill="C5E0B3" w:themeFill="accent6" w:themeFillTint="66"/>
            <w:vAlign w:val="center"/>
          </w:tcPr>
          <w:p w14:paraId="52B83E55">
            <w:pPr>
              <w:spacing w:line="360" w:lineRule="auto"/>
              <w:ind w:hanging="8"/>
              <w:jc w:val="center"/>
              <w:rPr>
                <w:rFonts w:hint="eastAsia" w:ascii="黑体" w:hAnsi="黑体" w:eastAsia="黑体" w:cs="黑体"/>
                <w:b/>
                <w:szCs w:val="20"/>
              </w:rPr>
            </w:pPr>
            <w:r>
              <w:rPr>
                <w:rFonts w:hint="eastAsia" w:ascii="黑体" w:hAnsi="黑体" w:eastAsia="黑体" w:cs="黑体"/>
                <w:b/>
                <w:color w:val="385724" w:themeColor="accent6" w:themeShade="80"/>
                <w:szCs w:val="20"/>
              </w:rPr>
              <w:t>教学目标</w:t>
            </w:r>
          </w:p>
        </w:tc>
        <w:tc>
          <w:tcPr>
            <w:tcW w:w="8185" w:type="dxa"/>
            <w:gridSpan w:val="2"/>
            <w:tcBorders>
              <w:top w:val="dashSmallGap" w:color="A8D08D" w:themeColor="accent6" w:themeTint="99" w:sz="4" w:space="0"/>
              <w:left w:val="dashSmallGap" w:color="A8D08D" w:themeColor="accent6" w:themeTint="99" w:sz="4" w:space="0"/>
              <w:bottom w:val="dashSmallGap" w:color="A8D08D" w:themeColor="accent6" w:themeTint="99" w:sz="4" w:space="0"/>
            </w:tcBorders>
            <w:shd w:val="clear" w:color="auto" w:fill="F8FFF5"/>
            <w:vAlign w:val="center"/>
          </w:tcPr>
          <w:p w14:paraId="3947DA50">
            <w:pPr>
              <w:spacing w:line="360" w:lineRule="auto"/>
              <w:ind w:hanging="8"/>
              <w:rPr>
                <w:b/>
              </w:rPr>
            </w:pPr>
            <w:r>
              <w:rPr>
                <w:rFonts w:hAnsi="宋体"/>
                <w:b/>
              </w:rPr>
              <w:t>知识</w:t>
            </w:r>
            <w:r>
              <w:rPr>
                <w:rFonts w:hint="eastAsia" w:hAnsi="宋体"/>
                <w:b/>
              </w:rPr>
              <w:t>技能</w:t>
            </w:r>
            <w:r>
              <w:rPr>
                <w:rFonts w:hAnsi="宋体"/>
                <w:b/>
              </w:rPr>
              <w:t>目标：</w:t>
            </w:r>
          </w:p>
          <w:p w14:paraId="5A4C6A79">
            <w:pPr>
              <w:spacing w:line="360" w:lineRule="auto"/>
              <w:ind w:hanging="8"/>
              <w:rPr>
                <w:rFonts w:hint="eastAsia" w:ascii="Times New Roman" w:hAnsi="宋体" w:eastAsia="宋体"/>
                <w:bCs/>
                <w:szCs w:val="20"/>
                <w:lang w:eastAsia="zh-CN"/>
              </w:rPr>
            </w:pPr>
            <w:r>
              <w:rPr>
                <w:rFonts w:ascii="Times New Roman" w:hAnsi="Times New Roman"/>
                <w:szCs w:val="20"/>
              </w:rPr>
              <w:t>1</w:t>
            </w:r>
            <w:r>
              <w:rPr>
                <w:rFonts w:ascii="Times New Roman" w:hAnsi="宋体"/>
                <w:bCs/>
                <w:szCs w:val="20"/>
              </w:rPr>
              <w:t>．</w:t>
            </w:r>
            <w:r>
              <w:rPr>
                <w:rFonts w:hint="eastAsia" w:ascii="Times New Roman" w:hAnsi="宋体"/>
                <w:bCs/>
                <w:szCs w:val="20"/>
                <w:lang w:val="en-US" w:eastAsia="zh-CN"/>
              </w:rPr>
              <w:t>了</w:t>
            </w:r>
            <w:r>
              <w:rPr>
                <w:rFonts w:hint="eastAsia" w:ascii="Times New Roman" w:hAnsi="宋体"/>
                <w:bCs/>
                <w:szCs w:val="20"/>
              </w:rPr>
              <w:t>解大学生在面对择业时常见的心理状态。</w:t>
            </w:r>
          </w:p>
          <w:p w14:paraId="7FE965F4">
            <w:pPr>
              <w:spacing w:line="360" w:lineRule="auto"/>
              <w:ind w:hanging="8"/>
              <w:rPr>
                <w:rFonts w:hint="eastAsia" w:ascii="Times New Roman" w:hAnsi="宋体" w:eastAsia="宋体"/>
                <w:bCs/>
                <w:szCs w:val="20"/>
                <w:lang w:eastAsia="zh-CN"/>
              </w:rPr>
            </w:pPr>
            <w:r>
              <w:rPr>
                <w:rFonts w:ascii="Times New Roman" w:hAnsi="Times New Roman"/>
                <w:szCs w:val="20"/>
              </w:rPr>
              <w:t>2</w:t>
            </w:r>
            <w:r>
              <w:rPr>
                <w:rFonts w:ascii="Times New Roman" w:hAnsi="宋体"/>
                <w:bCs/>
                <w:szCs w:val="20"/>
              </w:rPr>
              <w:t>．</w:t>
            </w:r>
            <w:r>
              <w:rPr>
                <w:rFonts w:hint="eastAsia" w:ascii="Times New Roman" w:hAnsi="宋体"/>
                <w:bCs/>
                <w:szCs w:val="20"/>
                <w:lang w:eastAsia="zh-CN"/>
              </w:rPr>
              <w:t>掌握职业生涯概念、理解职业生涯发展阶段。</w:t>
            </w:r>
          </w:p>
          <w:p w14:paraId="2316A8AB">
            <w:pPr>
              <w:spacing w:line="360" w:lineRule="auto"/>
              <w:ind w:hanging="8"/>
              <w:jc w:val="left"/>
              <w:rPr>
                <w:rFonts w:ascii="Times New Roman" w:hAnsi="宋体"/>
                <w:b/>
                <w:szCs w:val="20"/>
              </w:rPr>
            </w:pPr>
            <w:r>
              <w:rPr>
                <w:rFonts w:hint="eastAsia" w:ascii="Times New Roman" w:hAnsi="宋体"/>
                <w:b/>
                <w:szCs w:val="20"/>
              </w:rPr>
              <w:t>思政育人目标：</w:t>
            </w:r>
          </w:p>
          <w:p w14:paraId="75B6325C">
            <w:pPr>
              <w:spacing w:line="360" w:lineRule="auto"/>
              <w:ind w:hanging="8"/>
              <w:jc w:val="left"/>
              <w:rPr>
                <w:rFonts w:hint="eastAsia" w:ascii="Times New Roman" w:hAnsi="宋体" w:eastAsia="宋体"/>
                <w:szCs w:val="20"/>
                <w:lang w:eastAsia="zh-CN"/>
              </w:rPr>
            </w:pPr>
            <w:r>
              <w:rPr>
                <w:rFonts w:hint="eastAsia" w:ascii="Times New Roman" w:hAnsi="宋体"/>
                <w:szCs w:val="20"/>
              </w:rPr>
              <w:t>让学生通过学习</w:t>
            </w:r>
            <w:r>
              <w:rPr>
                <w:rFonts w:hint="eastAsia" w:ascii="Times New Roman" w:hAnsi="宋体"/>
                <w:szCs w:val="20"/>
                <w:lang w:eastAsia="zh-CN"/>
              </w:rPr>
              <w:t>大学生的职业生涯规划与择业心理</w:t>
            </w:r>
            <w:r>
              <w:rPr>
                <w:rFonts w:hint="eastAsia" w:ascii="Times New Roman" w:hAnsi="宋体"/>
                <w:szCs w:val="20"/>
              </w:rPr>
              <w:t>，引入理论学习，</w:t>
            </w:r>
            <w:r>
              <w:rPr>
                <w:rFonts w:hint="eastAsia" w:ascii="Times New Roman" w:hAnsi="宋体"/>
                <w:szCs w:val="20"/>
                <w:lang w:eastAsia="zh-CN"/>
              </w:rPr>
              <w:t>培养学生积极向上的择业观，以积极、自信、乐观的心态面对就业问题。</w:t>
            </w:r>
          </w:p>
        </w:tc>
      </w:tr>
      <w:tr w14:paraId="2A1728F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ED7D31" w:themeColor="accent2" w:sz="4" w:space="0"/>
              <w:right w:val="dashSmallGap" w:color="ED7D31" w:themeColor="accent2" w:sz="4" w:space="0"/>
            </w:tcBorders>
            <w:shd w:val="clear" w:color="auto" w:fill="FBE5D6" w:themeFill="accent2" w:themeFillTint="32"/>
            <w:vAlign w:val="center"/>
          </w:tcPr>
          <w:p w14:paraId="6C2B4C5E">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教学重难点</w:t>
            </w:r>
          </w:p>
        </w:tc>
        <w:tc>
          <w:tcPr>
            <w:tcW w:w="8185" w:type="dxa"/>
            <w:gridSpan w:val="2"/>
            <w:tcBorders>
              <w:top w:val="dashSmallGap" w:color="A8D08D" w:themeColor="accent6" w:themeTint="99" w:sz="4" w:space="0"/>
              <w:left w:val="dashSmallGap" w:color="ED7D31" w:themeColor="accent2" w:sz="4" w:space="0"/>
              <w:bottom w:val="dashSmallGap" w:color="ED7D31" w:themeColor="accent2" w:sz="4" w:space="0"/>
            </w:tcBorders>
            <w:shd w:val="clear" w:color="auto" w:fill="FFF9F2"/>
            <w:vAlign w:val="center"/>
          </w:tcPr>
          <w:p w14:paraId="40A0F443">
            <w:pPr>
              <w:spacing w:line="360" w:lineRule="auto"/>
              <w:ind w:hanging="8"/>
              <w:rPr>
                <w:rFonts w:ascii="Times New Roman" w:hAnsi="Times New Roman"/>
                <w:b/>
                <w:szCs w:val="20"/>
              </w:rPr>
            </w:pPr>
            <w:r>
              <w:rPr>
                <w:rFonts w:hint="eastAsia" w:ascii="Times New Roman" w:hAnsi="Times New Roman"/>
                <w:b/>
                <w:szCs w:val="20"/>
              </w:rPr>
              <w:t>教学重点：</w:t>
            </w:r>
          </w:p>
          <w:p w14:paraId="75F72A6B">
            <w:pPr>
              <w:spacing w:line="360" w:lineRule="auto"/>
              <w:ind w:hanging="8"/>
              <w:rPr>
                <w:rFonts w:hint="eastAsia" w:ascii="Times New Roman" w:hAnsi="宋体"/>
                <w:szCs w:val="20"/>
              </w:rPr>
            </w:pPr>
            <w:r>
              <w:rPr>
                <w:rFonts w:hint="eastAsia" w:ascii="Times New Roman" w:hAnsi="宋体"/>
                <w:szCs w:val="20"/>
              </w:rPr>
              <w:t>职业生涯规划概述</w:t>
            </w:r>
          </w:p>
          <w:p w14:paraId="35B6593E">
            <w:pPr>
              <w:spacing w:line="360" w:lineRule="auto"/>
              <w:ind w:hanging="8"/>
              <w:rPr>
                <w:rFonts w:ascii="Times New Roman" w:hAnsi="Times New Roman"/>
                <w:b/>
                <w:szCs w:val="20"/>
              </w:rPr>
            </w:pPr>
            <w:r>
              <w:rPr>
                <w:rFonts w:hint="eastAsia" w:ascii="Times New Roman" w:hAnsi="Times New Roman"/>
                <w:b/>
                <w:szCs w:val="20"/>
              </w:rPr>
              <w:t>教学难点：</w:t>
            </w:r>
          </w:p>
          <w:p w14:paraId="6E03F56C">
            <w:pPr>
              <w:spacing w:line="360" w:lineRule="auto"/>
              <w:ind w:hanging="8"/>
              <w:rPr>
                <w:rFonts w:hint="eastAsia" w:ascii="Times New Roman" w:hAnsi="宋体" w:eastAsia="宋体"/>
                <w:szCs w:val="20"/>
                <w:lang w:eastAsia="zh-CN"/>
              </w:rPr>
            </w:pPr>
            <w:r>
              <w:rPr>
                <w:rFonts w:hint="eastAsia" w:ascii="Times New Roman" w:hAnsi="宋体"/>
                <w:szCs w:val="20"/>
              </w:rPr>
              <w:t>大学生常见的择业心理问题</w:t>
            </w:r>
          </w:p>
        </w:tc>
      </w:tr>
      <w:tr w14:paraId="6D19B84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ED7D31" w:themeColor="accent2" w:sz="4" w:space="0"/>
              <w:right w:val="dashSmallGap" w:color="ED7D31" w:themeColor="accent2" w:sz="4" w:space="0"/>
            </w:tcBorders>
            <w:shd w:val="clear" w:color="auto" w:fill="FBE5D6" w:themeFill="accent2" w:themeFillTint="32"/>
            <w:vAlign w:val="center"/>
          </w:tcPr>
          <w:p w14:paraId="5219354D">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教学方法</w:t>
            </w:r>
          </w:p>
        </w:tc>
        <w:tc>
          <w:tcPr>
            <w:tcW w:w="8185" w:type="dxa"/>
            <w:gridSpan w:val="2"/>
            <w:tcBorders>
              <w:top w:val="dashSmallGap" w:color="ED7D31" w:themeColor="accent2" w:sz="4" w:space="0"/>
              <w:left w:val="dashSmallGap" w:color="ED7D31" w:themeColor="accent2" w:sz="4" w:space="0"/>
              <w:bottom w:val="dashSmallGap" w:color="ED7D31" w:themeColor="accent2" w:sz="4" w:space="0"/>
            </w:tcBorders>
            <w:shd w:val="clear" w:color="auto" w:fill="FFF9F2"/>
            <w:vAlign w:val="center"/>
          </w:tcPr>
          <w:p w14:paraId="782310F2">
            <w:pPr>
              <w:spacing w:line="360" w:lineRule="auto"/>
              <w:ind w:hanging="8"/>
              <w:rPr>
                <w:rFonts w:ascii="Times New Roman" w:hAnsi="Times New Roman"/>
                <w:szCs w:val="20"/>
              </w:rPr>
            </w:pPr>
            <w:r>
              <w:rPr>
                <w:rFonts w:hint="eastAsia" w:ascii="Times New Roman" w:hAnsi="宋体"/>
                <w:szCs w:val="20"/>
              </w:rPr>
              <w:t>讲授法、问答法、讨论法</w:t>
            </w:r>
          </w:p>
        </w:tc>
      </w:tr>
      <w:tr w14:paraId="354546A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5B9BD5" w:themeColor="accent1" w:sz="4" w:space="0"/>
              <w:right w:val="dashSmallGap" w:color="ED7D31" w:themeColor="accent2" w:sz="4" w:space="0"/>
            </w:tcBorders>
            <w:shd w:val="clear" w:color="auto" w:fill="FBE5D6" w:themeFill="accent2" w:themeFillTint="32"/>
            <w:vAlign w:val="center"/>
          </w:tcPr>
          <w:p w14:paraId="547D300B">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教学用具</w:t>
            </w:r>
          </w:p>
        </w:tc>
        <w:tc>
          <w:tcPr>
            <w:tcW w:w="8185" w:type="dxa"/>
            <w:gridSpan w:val="2"/>
            <w:tcBorders>
              <w:top w:val="dashSmallGap" w:color="ED7D31" w:themeColor="accent2" w:sz="4" w:space="0"/>
              <w:left w:val="dashSmallGap" w:color="ED7D31" w:themeColor="accent2" w:sz="4" w:space="0"/>
              <w:bottom w:val="dashSmallGap" w:color="5B9BD5" w:themeColor="accent1" w:sz="4" w:space="0"/>
            </w:tcBorders>
            <w:shd w:val="clear" w:color="auto" w:fill="FFF9F2"/>
            <w:vAlign w:val="center"/>
          </w:tcPr>
          <w:p w14:paraId="3174B6B3">
            <w:pPr>
              <w:spacing w:line="360" w:lineRule="auto"/>
              <w:ind w:hanging="8"/>
              <w:rPr>
                <w:rFonts w:ascii="Times New Roman" w:hAnsi="Times New Roman"/>
                <w:szCs w:val="20"/>
              </w:rPr>
            </w:pPr>
            <w:r>
              <w:rPr>
                <w:rFonts w:hint="eastAsia" w:ascii="Times New Roman" w:hAnsi="宋体"/>
                <w:szCs w:val="20"/>
              </w:rPr>
              <w:t>电脑、投影仪、</w:t>
            </w:r>
            <w:r>
              <w:rPr>
                <w:rFonts w:ascii="Times New Roman" w:hAnsi="宋体"/>
                <w:szCs w:val="20"/>
              </w:rPr>
              <w:t>多媒体</w:t>
            </w:r>
            <w:r>
              <w:rPr>
                <w:rFonts w:hint="eastAsia" w:ascii="Times New Roman" w:hAnsi="宋体"/>
                <w:szCs w:val="20"/>
              </w:rPr>
              <w:t>课件、教材</w:t>
            </w:r>
          </w:p>
        </w:tc>
      </w:tr>
      <w:tr w14:paraId="47F79B2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ouble" w:color="823B0B" w:themeColor="accent2" w:themeShade="7F" w:sz="4" w:space="0"/>
              <w:right w:val="dashSmallGap" w:color="5B9BD5" w:themeColor="accent1" w:sz="4" w:space="0"/>
            </w:tcBorders>
            <w:shd w:val="clear" w:color="auto" w:fill="C6DFF7"/>
            <w:vAlign w:val="center"/>
          </w:tcPr>
          <w:p w14:paraId="66F37B19">
            <w:pPr>
              <w:spacing w:line="360" w:lineRule="auto"/>
              <w:ind w:hanging="8"/>
              <w:jc w:val="center"/>
              <w:rPr>
                <w:rFonts w:hint="eastAsia" w:ascii="黑体" w:hAnsi="黑体" w:eastAsia="黑体" w:cs="黑体"/>
                <w:b/>
                <w:szCs w:val="20"/>
              </w:rPr>
            </w:pPr>
            <w:r>
              <w:rPr>
                <w:rFonts w:hint="eastAsia" w:ascii="黑体" w:hAnsi="黑体" w:eastAsia="黑体" w:cs="黑体"/>
                <w:b/>
                <w:szCs w:val="20"/>
              </w:rPr>
              <w:t>教学设计</w:t>
            </w:r>
          </w:p>
        </w:tc>
        <w:tc>
          <w:tcPr>
            <w:tcW w:w="8185" w:type="dxa"/>
            <w:gridSpan w:val="2"/>
            <w:tcBorders>
              <w:top w:val="dashSmallGap" w:color="5B9BD5" w:themeColor="accent1" w:sz="4" w:space="0"/>
              <w:left w:val="dashSmallGap" w:color="5B9BD5" w:themeColor="accent1" w:sz="4" w:space="0"/>
              <w:bottom w:val="double" w:color="823B0B" w:themeColor="accent2" w:themeShade="7F" w:sz="4" w:space="0"/>
            </w:tcBorders>
            <w:shd w:val="clear" w:color="auto" w:fill="EBF5FF"/>
            <w:vAlign w:val="center"/>
          </w:tcPr>
          <w:p w14:paraId="0D4446CC">
            <w:pPr>
              <w:spacing w:line="360" w:lineRule="auto"/>
              <w:rPr>
                <w:rFonts w:ascii="Times New Roman" w:hAnsi="宋体"/>
                <w:szCs w:val="20"/>
              </w:rPr>
            </w:pPr>
            <w:r>
              <w:rPr>
                <w:rFonts w:hint="eastAsia" w:ascii="Times New Roman" w:hAnsi="宋体"/>
                <w:szCs w:val="20"/>
              </w:rPr>
              <w:t>第1节课：激趣导入（15min）--传授新知（30min）</w:t>
            </w:r>
          </w:p>
          <w:p w14:paraId="1AFF4F35">
            <w:pPr>
              <w:spacing w:line="360" w:lineRule="auto"/>
              <w:rPr>
                <w:rFonts w:hint="eastAsia" w:ascii="Times New Roman" w:hAnsi="宋体"/>
                <w:szCs w:val="20"/>
              </w:rPr>
            </w:pPr>
            <w:r>
              <w:rPr>
                <w:rFonts w:hint="eastAsia" w:ascii="Times New Roman" w:hAnsi="宋体"/>
                <w:szCs w:val="20"/>
              </w:rPr>
              <w:t>第</w:t>
            </w:r>
            <w:r>
              <w:rPr>
                <w:rFonts w:ascii="Times New Roman" w:hAnsi="宋体"/>
                <w:szCs w:val="20"/>
              </w:rPr>
              <w:t>2</w:t>
            </w:r>
            <w:r>
              <w:rPr>
                <w:rFonts w:hint="eastAsia" w:ascii="Times New Roman" w:hAnsi="宋体"/>
                <w:szCs w:val="20"/>
              </w:rPr>
              <w:t>节课：继续探索（</w:t>
            </w:r>
            <w:r>
              <w:rPr>
                <w:rFonts w:hint="eastAsia" w:ascii="Times New Roman" w:hAnsi="宋体"/>
                <w:szCs w:val="20"/>
                <w:lang w:val="en-US" w:eastAsia="zh-CN"/>
              </w:rPr>
              <w:t>3</w:t>
            </w:r>
            <w:r>
              <w:rPr>
                <w:rFonts w:hint="eastAsia" w:ascii="Times New Roman" w:hAnsi="宋体"/>
                <w:szCs w:val="20"/>
              </w:rPr>
              <w:t>5min）--强化练习（5min）--课堂小结（3min）--作业布置（2min）</w:t>
            </w:r>
          </w:p>
          <w:p w14:paraId="5F6B9524">
            <w:pPr>
              <w:spacing w:line="360" w:lineRule="auto"/>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3</w:t>
            </w:r>
            <w:r>
              <w:rPr>
                <w:rFonts w:hint="eastAsia" w:ascii="Times New Roman" w:hAnsi="宋体"/>
                <w:szCs w:val="20"/>
              </w:rPr>
              <w:t>节课：观影</w:t>
            </w:r>
            <w:r>
              <w:rPr>
                <w:rFonts w:hint="eastAsia" w:ascii="Times New Roman" w:hAnsi="宋体"/>
                <w:szCs w:val="20"/>
                <w:lang w:eastAsia="zh-CN"/>
              </w:rPr>
              <w:t>活动</w:t>
            </w:r>
            <w:r>
              <w:rPr>
                <w:rFonts w:hint="eastAsia" w:ascii="Times New Roman" w:hAnsi="宋体"/>
                <w:szCs w:val="20"/>
              </w:rPr>
              <w:t>（</w:t>
            </w:r>
            <w:r>
              <w:rPr>
                <w:rFonts w:hint="eastAsia" w:ascii="Times New Roman" w:hAnsi="宋体"/>
                <w:szCs w:val="20"/>
                <w:lang w:val="en-US" w:eastAsia="zh-CN"/>
              </w:rPr>
              <w:t>40</w:t>
            </w:r>
            <w:r>
              <w:rPr>
                <w:rFonts w:hint="eastAsia" w:ascii="Times New Roman" w:hAnsi="宋体"/>
                <w:szCs w:val="20"/>
              </w:rPr>
              <w:t>min）--</w:t>
            </w:r>
            <w:r>
              <w:rPr>
                <w:rFonts w:hint="eastAsia" w:ascii="Times New Roman" w:hAnsi="宋体"/>
                <w:szCs w:val="20"/>
                <w:lang w:eastAsia="zh-CN"/>
              </w:rPr>
              <w:t>互动聊心</w:t>
            </w:r>
            <w:r>
              <w:rPr>
                <w:rFonts w:hint="eastAsia" w:ascii="Times New Roman" w:hAnsi="宋体"/>
                <w:szCs w:val="20"/>
              </w:rPr>
              <w:t>（</w:t>
            </w:r>
            <w:r>
              <w:rPr>
                <w:rFonts w:hint="eastAsia" w:ascii="Times New Roman" w:hAnsi="宋体"/>
                <w:szCs w:val="20"/>
                <w:lang w:val="en-US" w:eastAsia="zh-CN"/>
              </w:rPr>
              <w:t>5</w:t>
            </w:r>
            <w:r>
              <w:rPr>
                <w:rFonts w:hint="eastAsia" w:ascii="Times New Roman" w:hAnsi="宋体"/>
                <w:szCs w:val="20"/>
              </w:rPr>
              <w:t>min）</w:t>
            </w:r>
          </w:p>
        </w:tc>
      </w:tr>
      <w:tr w14:paraId="74F94E3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34394223">
            <w:pPr>
              <w:spacing w:line="360" w:lineRule="auto"/>
              <w:ind w:hanging="8"/>
              <w:jc w:val="center"/>
              <w:rPr>
                <w:rFonts w:hint="eastAsia" w:ascii="黑体" w:hAnsi="黑体" w:eastAsia="黑体" w:cs="黑体"/>
                <w:b w:val="0"/>
                <w:bCs w:val="0"/>
                <w:color w:val="843C0B" w:themeColor="accent2" w:themeShade="80"/>
                <w:szCs w:val="24"/>
              </w:rPr>
            </w:pPr>
            <w:r>
              <w:rPr>
                <w:rFonts w:hint="eastAsia" w:ascii="黑体" w:hAnsi="黑体" w:eastAsia="黑体" w:cs="黑体"/>
                <w:b w:val="0"/>
                <w:bCs w:val="0"/>
                <w:color w:val="843C0B" w:themeColor="accent2" w:themeShade="80"/>
                <w:szCs w:val="24"/>
              </w:rPr>
              <w:t>教学过程</w:t>
            </w:r>
          </w:p>
        </w:tc>
        <w:tc>
          <w:tcPr>
            <w:tcW w:w="6658" w:type="dxa"/>
            <w:tcBorders>
              <w:top w:val="double" w:color="823B0B" w:themeColor="accent2" w:themeShade="7F" w:sz="4" w:space="0"/>
              <w:left w:val="sing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21F959F7">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4"/>
              </w:rPr>
              <w:t>主 要 教 学 内 容 及 步 骤</w:t>
            </w:r>
          </w:p>
        </w:tc>
        <w:tc>
          <w:tcPr>
            <w:tcW w:w="1527" w:type="dxa"/>
            <w:tcBorders>
              <w:top w:val="double" w:color="823B0B" w:themeColor="accent2" w:themeShade="7F" w:sz="4" w:space="0"/>
              <w:left w:val="single" w:color="823B0B" w:themeColor="accent2" w:themeShade="7F" w:sz="4" w:space="0"/>
              <w:bottom w:val="double" w:color="823B0B" w:themeColor="accent2" w:themeShade="7F" w:sz="4" w:space="0"/>
            </w:tcBorders>
            <w:shd w:val="clear" w:color="auto" w:fill="FFD965" w:themeFill="accent4" w:themeFillTint="99"/>
            <w:vAlign w:val="center"/>
          </w:tcPr>
          <w:p w14:paraId="7E8E2924">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0"/>
              </w:rPr>
              <w:t>设计意图</w:t>
            </w:r>
          </w:p>
        </w:tc>
      </w:tr>
      <w:tr w14:paraId="400EE31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ashSmallGap" w:color="70AD47" w:themeColor="accent6" w:sz="4" w:space="0"/>
              <w:right w:val="dashSmallGap" w:color="823B0B" w:themeColor="accent2" w:themeShade="7F" w:sz="4" w:space="0"/>
            </w:tcBorders>
            <w:shd w:val="clear" w:color="auto" w:fill="FEFFE9"/>
            <w:vAlign w:val="center"/>
          </w:tcPr>
          <w:p w14:paraId="5DBB22E2">
            <w:pPr>
              <w:spacing w:line="360" w:lineRule="auto"/>
              <w:rPr>
                <w:rFonts w:ascii="微软雅黑" w:hAnsi="微软雅黑" w:eastAsia="微软雅黑"/>
                <w:b/>
                <w:sz w:val="24"/>
                <w:szCs w:val="24"/>
              </w:rPr>
            </w:pPr>
          </w:p>
          <w:p w14:paraId="182662C3">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激趣导入</w:t>
            </w:r>
          </w:p>
          <w:p w14:paraId="4AA7C3F9">
            <w:pPr>
              <w:spacing w:line="360" w:lineRule="auto"/>
              <w:ind w:hanging="8"/>
              <w:jc w:val="center"/>
              <w:rPr>
                <w:rFonts w:ascii="Times New Roman" w:hAnsi="Times New Roman"/>
                <w:b/>
                <w:szCs w:val="24"/>
              </w:rPr>
            </w:pPr>
            <w:r>
              <w:rPr>
                <w:rFonts w:ascii="Times New Roman" w:hAnsi="Times New Roman"/>
                <w:color w:val="843C0B" w:themeColor="accent2" w:themeShade="80"/>
                <w:szCs w:val="24"/>
              </w:rPr>
              <w:t>（15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ouble" w:color="823B0B" w:themeColor="accent2" w:themeShade="7F" w:sz="4" w:space="0"/>
              <w:left w:val="dashSmallGap" w:color="823B0B" w:themeColor="accent2" w:themeShade="7F" w:sz="4" w:space="0"/>
              <w:bottom w:val="dashSmallGap" w:color="70AD47" w:themeColor="accent6" w:sz="4" w:space="0"/>
              <w:right w:val="dashSmallGap" w:color="823B0B" w:themeColor="accent2" w:themeShade="7F" w:sz="4" w:space="0"/>
            </w:tcBorders>
            <w:vAlign w:val="center"/>
          </w:tcPr>
          <w:p w14:paraId="7C01C809">
            <w:pPr>
              <w:spacing w:line="360" w:lineRule="auto"/>
              <w:rPr>
                <w:rFonts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lang w:val="en-US" w:eastAsia="zh-CN"/>
              </w:rPr>
              <w:t>讲解案例</w:t>
            </w:r>
          </w:p>
          <w:p w14:paraId="5B98871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kern w:val="0"/>
                <w:szCs w:val="24"/>
                <w:lang w:eastAsia="zh-CN"/>
              </w:rPr>
              <w:t>小明（化名）是一名大学一年级的学生，从进入大学开始就对自己的未来产生了深深的忧虑。他总是感觉自己似乎缺乏明确的方向，不知道应该朝什么方向努力。尽管他在课堂上努力学习，但对于将来的职业选择却毫无头绪。他试图通过参加社团活动找到自己的兴趣所在，但发现自己并没有找到真正感兴趣的领域。在一次心理咨询中，小明向心理咨询师倾诉了自己的困惑。咨询师耐心地倾听了他的心声，并提醒他，对于大多数学生来说，职业选择是一个需要认真思考和规划的过程。咨询师鼓励他从自己的兴趣、能力和价值观出发，寻找适合自己的职业方向，并建议他进行一些职业测评，以更好地了解自己的特长和潜力。小明开始主动寻求帮助，并积极参加学校组织的职业规划活动。通过这些活动，他逐渐明确了自己的兴趣所在，并开始制定自己的职业生涯规划。他领悟到，只有通过认真的思考和规划，才能找到适合自己的职业道路，并为自己的未来打下坚实的基础。</w:t>
            </w:r>
          </w:p>
          <w:p w14:paraId="4A20500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color w:val="EB4691"/>
                <w:kern w:val="0"/>
                <w:szCs w:val="24"/>
                <w:lang w:eastAsia="zh-CN"/>
              </w:rPr>
              <w:t>心理点评：</w:t>
            </w:r>
            <w:r>
              <w:rPr>
                <w:rFonts w:hint="eastAsia" w:ascii="宋体" w:hAnsi="宋体" w:cs="宋体"/>
                <w:b w:val="0"/>
                <w:bCs/>
                <w:kern w:val="0"/>
                <w:szCs w:val="24"/>
                <w:lang w:eastAsia="zh-CN"/>
              </w:rPr>
              <w:t>小明之所以感到困惑和焦虑，是因为他对未来的职业选择缺乏清晰的认识和规划。通过与心理咨询师的交流，他逐渐意识到了职业规划的重要性，并开始积极行动，寻找适合自己的职业方向。</w:t>
            </w:r>
          </w:p>
          <w:p w14:paraId="72F38CF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kern w:val="0"/>
                <w:szCs w:val="24"/>
                <w:lang w:eastAsia="zh-CN"/>
              </w:rPr>
            </w:pPr>
            <w:r>
              <w:rPr>
                <w:rFonts w:hint="eastAsia" w:ascii="宋体" w:hAnsi="宋体" w:cs="宋体"/>
                <w:b w:val="0"/>
                <w:bCs/>
                <w:color w:val="EB4691"/>
                <w:kern w:val="0"/>
                <w:szCs w:val="24"/>
                <w:lang w:eastAsia="zh-CN"/>
              </w:rPr>
              <w:t>想一想：</w:t>
            </w:r>
            <w:r>
              <w:rPr>
                <w:rFonts w:hint="eastAsia" w:ascii="宋体" w:hAnsi="宋体" w:cs="宋体"/>
                <w:b w:val="0"/>
                <w:bCs/>
                <w:kern w:val="0"/>
                <w:szCs w:val="24"/>
                <w:lang w:eastAsia="zh-CN"/>
              </w:rPr>
              <w:t>你是否也像小明一样感到困惑和焦虑？你是否已经开始思考自己职业规划？如果还没有，你会如何开始规划自己的职业生涯呢？</w:t>
            </w:r>
          </w:p>
          <w:p w14:paraId="4DAC1EE9">
            <w:pPr>
              <w:spacing w:line="360" w:lineRule="auto"/>
              <w:rPr>
                <w:rFonts w:ascii="Times New Roman" w:hAnsi="Times New Roman"/>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思考、讨论。</w:t>
            </w:r>
          </w:p>
        </w:tc>
        <w:tc>
          <w:tcPr>
            <w:tcW w:w="1527" w:type="dxa"/>
            <w:tcBorders>
              <w:top w:val="double" w:color="823B0B" w:themeColor="accent2" w:themeShade="7F" w:sz="4" w:space="0"/>
              <w:left w:val="dashSmallGap" w:color="823B0B" w:themeColor="accent2" w:themeShade="7F" w:sz="4" w:space="0"/>
              <w:bottom w:val="dashSmallGap" w:color="70AD47" w:themeColor="accent6" w:sz="4" w:space="0"/>
            </w:tcBorders>
            <w:shd w:val="clear" w:color="auto" w:fill="auto"/>
            <w:vAlign w:val="center"/>
          </w:tcPr>
          <w:p w14:paraId="0639F982">
            <w:pPr>
              <w:spacing w:line="360" w:lineRule="auto"/>
              <w:jc w:val="both"/>
              <w:rPr>
                <w:rFonts w:ascii="Times New Roman" w:hAnsi="Times New Roman"/>
                <w:b/>
                <w:szCs w:val="24"/>
              </w:rPr>
            </w:pPr>
            <w:r>
              <w:rPr>
                <w:rFonts w:hint="eastAsia" w:ascii="Times New Roman" w:hAnsi="Times New Roman"/>
                <w:b w:val="0"/>
                <w:bCs/>
                <w:szCs w:val="24"/>
              </w:rPr>
              <w:t>通过</w:t>
            </w:r>
            <w:r>
              <w:rPr>
                <w:rFonts w:hint="eastAsia" w:ascii="Times New Roman" w:hAnsi="Times New Roman"/>
                <w:b w:val="0"/>
                <w:bCs/>
                <w:szCs w:val="24"/>
                <w:lang w:eastAsia="zh-CN"/>
              </w:rPr>
              <w:t>观看</w:t>
            </w:r>
            <w:r>
              <w:rPr>
                <w:rFonts w:hint="eastAsia" w:ascii="Times New Roman" w:hAnsi="Times New Roman"/>
                <w:b w:val="0"/>
                <w:bCs/>
                <w:szCs w:val="24"/>
                <w:lang w:val="en-US" w:eastAsia="zh-CN"/>
              </w:rPr>
              <w:t>案例</w:t>
            </w:r>
            <w:r>
              <w:rPr>
                <w:rFonts w:hint="eastAsia" w:ascii="Times New Roman" w:hAnsi="Times New Roman"/>
                <w:b w:val="0"/>
                <w:bCs/>
                <w:szCs w:val="24"/>
              </w:rPr>
              <w:t>，让学生了解</w:t>
            </w:r>
            <w:r>
              <w:rPr>
                <w:rFonts w:hint="eastAsia" w:ascii="Times New Roman" w:hAnsi="Times New Roman"/>
                <w:b w:val="0"/>
                <w:bCs/>
                <w:szCs w:val="24"/>
                <w:lang w:eastAsia="zh-CN"/>
              </w:rPr>
              <w:t>心理学</w:t>
            </w:r>
            <w:r>
              <w:rPr>
                <w:rFonts w:hint="eastAsia" w:ascii="Times New Roman" w:hAnsi="Times New Roman"/>
                <w:b w:val="0"/>
                <w:bCs/>
                <w:szCs w:val="24"/>
              </w:rPr>
              <w:t>，激发学生的学习欲望。</w:t>
            </w:r>
          </w:p>
        </w:tc>
      </w:tr>
      <w:tr w14:paraId="66D132E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70AD47" w:themeColor="accent6" w:sz="4" w:space="0"/>
              <w:right w:val="dashSmallGap" w:color="70AD47" w:themeColor="accent6" w:sz="4" w:space="0"/>
            </w:tcBorders>
            <w:shd w:val="clear" w:color="auto" w:fill="E2EFDA" w:themeFill="accent6" w:themeFillTint="32"/>
            <w:vAlign w:val="center"/>
          </w:tcPr>
          <w:p w14:paraId="433EB227">
            <w:pPr>
              <w:spacing w:line="360" w:lineRule="auto"/>
              <w:jc w:val="center"/>
              <w:rPr>
                <w:rFonts w:ascii="微软雅黑" w:hAnsi="微软雅黑" w:eastAsia="微软雅黑"/>
                <w:b/>
                <w:color w:val="385724" w:themeColor="accent6" w:themeShade="80"/>
                <w:sz w:val="24"/>
                <w:szCs w:val="24"/>
              </w:rPr>
            </w:pPr>
            <w:r>
              <w:rPr>
                <w:rFonts w:ascii="微软雅黑" w:hAnsi="微软雅黑" w:eastAsia="微软雅黑"/>
                <w:b/>
                <w:color w:val="385724" w:themeColor="accent6" w:themeShade="80"/>
                <w:sz w:val="24"/>
                <w:szCs w:val="24"/>
              </w:rPr>
              <w:t>传授新知</w:t>
            </w:r>
          </w:p>
          <w:p w14:paraId="2D725B28">
            <w:pPr>
              <w:spacing w:line="360" w:lineRule="auto"/>
              <w:jc w:val="center"/>
              <w:rPr>
                <w:rFonts w:ascii="微软雅黑" w:hAnsi="微软雅黑" w:eastAsia="微软雅黑"/>
                <w:b/>
                <w:sz w:val="24"/>
                <w:szCs w:val="24"/>
              </w:rPr>
            </w:pPr>
            <w:r>
              <w:rPr>
                <w:rFonts w:ascii="Times New Roman" w:hAnsi="Times New Roman"/>
                <w:color w:val="385724" w:themeColor="accent6" w:themeShade="80"/>
                <w:szCs w:val="24"/>
              </w:rPr>
              <w:t>（30</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70AD47" w:themeColor="accent6" w:sz="4" w:space="0"/>
              <w:left w:val="dashSmallGap" w:color="70AD47" w:themeColor="accent6" w:sz="4" w:space="0"/>
              <w:bottom w:val="dashSmallGap" w:color="70AD47" w:themeColor="accent6" w:sz="4" w:space="0"/>
              <w:right w:val="dashSmallGap" w:color="70AD47" w:themeColor="accent6" w:sz="4" w:space="0"/>
            </w:tcBorders>
            <w:vAlign w:val="center"/>
          </w:tcPr>
          <w:p w14:paraId="463A424D">
            <w:pPr>
              <w:pStyle w:val="12"/>
              <w:keepNext/>
              <w:keepLines/>
              <w:spacing w:line="360" w:lineRule="auto"/>
              <w:rPr>
                <w:rFonts w:ascii="Times New Roman" w:hAnsi="Times New Roman" w:cs="Times New Roman"/>
                <w:b/>
                <w:color w:val="auto"/>
                <w:sz w:val="21"/>
                <w:szCs w:val="24"/>
                <w:lang w:val="en-US" w:eastAsia="zh-CN" w:bidi="ar-SA"/>
              </w:rPr>
            </w:pPr>
            <w:r>
              <w:rPr>
                <w:rFonts w:hint="eastAsia" w:ascii="Times New Roman" w:hAnsi="Times New Roman" w:cs="Times New Roman"/>
                <w:b/>
                <w:bCs/>
                <w:color w:val="auto"/>
                <w:sz w:val="21"/>
                <w:szCs w:val="22"/>
                <w:lang w:val="en-US" w:eastAsia="zh-CN" w:bidi="ar-SA"/>
              </w:rPr>
              <w:t>【教师】</w:t>
            </w:r>
            <w:r>
              <w:rPr>
                <w:rFonts w:hint="eastAsia" w:ascii="Times New Roman" w:hAnsi="Times New Roman" w:cs="Times New Roman"/>
                <w:b/>
                <w:bCs/>
                <w:color w:val="CC0066"/>
                <w:sz w:val="21"/>
                <w:szCs w:val="22"/>
                <w:lang w:val="en-US" w:eastAsia="zh-CN" w:bidi="ar-SA"/>
              </w:rPr>
              <w:t>讲解大学生的职业生涯规划与择业心理</w:t>
            </w:r>
          </w:p>
          <w:p w14:paraId="2D5A9A06">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一、职业生涯规划概述</w:t>
            </w:r>
          </w:p>
          <w:p w14:paraId="5BDE1986">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（一）职业生涯的概念</w:t>
            </w:r>
          </w:p>
          <w:p w14:paraId="5F01ACF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在日常语境中，“生涯”一词被广泛应用，涵盖了艺术、科学和体育等各个领域，还扩展至每个人的职业发展。在中国古代文化中，生涯常被视为个人道德修养、学问成就和为社会服务的整体路径。例如，儒家思想强调“修身、齐家、治国、平天下”的递进关系，反映了个人发展和社会责任的生涯理念。而“生涯”这一概念的现代解读不仅仅局限于职业选择的简单描述，而是指向个体在其一生中通过不同职业角色所展现出的成长、变化与自我实现的路径。著名的生涯理论专家萨维科斯将职业生涯定义为“个体在其生命历程中，围绕工作建构的一系列经历和成就，这包括但不限于职业选择、工作经验以及个人如何在职业中实现自我定义和价值的过程。”从古至今，生涯的概念虽然经历了演变，但是无论是古代的人生哲学还是现代的职业生涯理论，都强调了个体成长、自我实现与社会贡献的重要性。</w:t>
            </w:r>
          </w:p>
          <w:p w14:paraId="78A707B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职业生涯与职业生涯规划</w:t>
            </w:r>
          </w:p>
          <w:p w14:paraId="6112784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职业生涯被视为个体在其一生中的职业发展过程，包括职业选择、工作经历、职业转变和个人在职业角色中的成长与实现。它不仅涵盖了工作履历，还包括了个体的职业态度、价值观、职业满意度以及与职业相关的个人成就。</w:t>
            </w:r>
          </w:p>
          <w:p w14:paraId="2D3AAE3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职业生涯规划是一个动态的、持续的过程，涉及个体对自己的职业目标、兴趣、能力和价值观的认识，以及基于这些认识制订和实施达成职业目标的策略和计划。这个过程要求个体主动探索自己的职业兴趣，评估自己的技能和优势，设定实际的职业目标，并制定实现这些目标的具体步骤。</w:t>
            </w:r>
          </w:p>
          <w:p w14:paraId="6850D10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对于大学生而言，职业生涯规划是自我发现和职业发展的重要起点。通过有效的职业生涯规划，大学生可以更清楚地认识自己的兴趣和能力，明确职业目标，从而在复杂多变的职业世界中做出更加明智的抉择。此外，职业生涯规划还能帮助大学生提前准备和建立必要的技能和经验，为未来的职业成功奠定坚实的基础。</w:t>
            </w:r>
          </w:p>
          <w:p w14:paraId="3CE97E4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职业生涯与职业理想</w:t>
            </w:r>
          </w:p>
          <w:p w14:paraId="31E82D2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志不立，天下无可成之事”。这句话深刻地揭示了理想在个人生活中的重要性。理想通常被视为对未来生活的期待和追求，它为个体提供了前进的方向和动力。在整个职业生涯中，职业理想扮演着至关重要的角色，它是个体追求的职业成就和满足的源泉。</w:t>
            </w:r>
          </w:p>
          <w:p w14:paraId="615E3CF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职业理想既是职业生涯规划的灵魂，也是推动个体不断前进的驱动力。在不同的历史时期，职业理想的内涵和外延都在不断地发生变化。受社会经济结构和技术进步的影响，职业的本质和功能也随之变化。例如，在工业革命之前，手工艺和农业支配了人们的职业选择；而在当今数字化和信息化的时代，新兴的科技职业如数据分析师、人工智能工程师成了许多人的职业理想。这种变化不仅反映了社会生产力的发展，也反映了职业理想与时代发展的紧密联系。</w:t>
            </w:r>
          </w:p>
          <w:p w14:paraId="395A4A3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职业理想是极富个性化的，它反映了一个人的价值观、兴趣、能力以及对社会的认知。每个人的职业理想都是独一无二的，它基于个人的生活经验、教育背景和个人特质。因此，在构建个人的职业理想时，个体不能单纯地追求市场的热门职业，而应深入探索自己的内心，结合个人特点和社会需求，做出符合自己发展的职业选择。</w:t>
            </w:r>
          </w:p>
          <w:p w14:paraId="6DE2C05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这个过程要求个体不仅要有清晰的自我认识，还需具备对社会发展趋势的敏锐洞察力。通过不断的学习和自我提升，个体能够使其职业理想与职业发展相匹配，从而实现个人价值和社会价值的双重提升。在这个意义上，职业理想既是个人追求的目标，也成为推动社会进步的重要力量。</w:t>
            </w:r>
          </w:p>
          <w:p w14:paraId="23207C73">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（二）职业生涯发展阶段</w:t>
            </w:r>
          </w:p>
          <w:p w14:paraId="0D82560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在职业发展领域内，唐纳德·E·舒伯的观点仍然占据着重要地位，他将个人生涯发展精妙地描绘成一个连续且阶梯式上升的旅程。他将这一旅程划分为五个关键阶段，每一阶段都承担着特定的发展使命。</w:t>
            </w:r>
          </w:p>
          <w:p w14:paraId="472B9FF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成长阶段（0 ～ 14 岁）</w:t>
            </w:r>
          </w:p>
          <w:p w14:paraId="3AC1B8F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成长阶段涵盖了从出生到 14 岁的时期，在这段时间里，个体开始对未来进行初步的思考，逐步建立起对自我能力的认识，并对长期未来生涯抱有初步的期待。这个阶段的核心任务是形成自我认识，个体通过教育和参与各类社交活动，开始理解自己在更广阔世界中的位置，培养起正面的生活观和职业态度。</w:t>
            </w:r>
          </w:p>
          <w:p w14:paraId="4AEC77D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EB4691"/>
                <w:sz w:val="21"/>
                <w:szCs w:val="22"/>
                <w:lang w:val="en-US" w:eastAsia="zh-CN" w:bidi="ar-SA"/>
              </w:rPr>
              <w:t>2. 探索阶段（15 ～ 24 岁）</w:t>
            </w:r>
            <w:r>
              <w:rPr>
                <w:rFonts w:hint="eastAsia" w:ascii="Times New Roman" w:hAnsi="Times New Roman" w:cs="Times New Roman"/>
                <w:color w:val="auto"/>
                <w:sz w:val="21"/>
                <w:szCs w:val="22"/>
                <w:lang w:val="en-US" w:eastAsia="zh-CN" w:bidi="ar-SA"/>
              </w:rPr>
              <w:t xml:space="preserve"> </w:t>
            </w:r>
          </w:p>
          <w:p w14:paraId="1E69E7A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探索阶段从 15 岁延续至 24 岁，标志着个体开始积极探寻职业方向，尝试界定自己未来的职业范畴，并为此做好相应的教育和实践准备。这一阶段要求个体深化对各职业及工作本质的理解，通过实践活动（如学生社团、志愿服务或兼职工作）来精细化和个性化自己的职业偏好。</w:t>
            </w:r>
          </w:p>
          <w:p w14:paraId="7DD8571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建立阶段（25 ～ 44 岁）</w:t>
            </w:r>
          </w:p>
          <w:p w14:paraId="5EA70CC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建立阶段是年龄在 25 至 44 岁之间的个体进入职业生涯的阶段。经过前期的探索和尝试，个体开始在选定的职业领域内寻找稳定，并力图在此基础上实现职业上的进步和成就。这个阶段的关键在于如何在职业生涯中确立自己的位置，以及如何制定并执行提升和发展的策略。</w:t>
            </w:r>
          </w:p>
          <w:p w14:paraId="466E6DA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维持阶段（45 ～ 64 岁）</w:t>
            </w:r>
          </w:p>
          <w:p w14:paraId="08BB157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维持阶段是进入 45 至 64 岁的个体处于职业生涯的阶段。此时，个体的主要任务是保持在职业领域内已获得的成就和地位，同时寻求知识和技能的更新，确保在不断变化的工作环境中保持竞争力。</w:t>
            </w:r>
          </w:p>
          <w:p w14:paraId="7478F22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5. 退出阶段（65 岁及以上）</w:t>
            </w:r>
          </w:p>
          <w:p w14:paraId="59A50F2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退出阶段是 65 岁及以上的个体进入生涯的阶段，开始逐渐从积极的职业生活中退缩，转向寻找和发展新的生活角色和兴趣。在这一阶段，重要的是如何平稳地过渡到非职业生活，同时保持生活的充实和意义。通过这五个阶段的演进，舒伯的理论为大学生提供了一个职业发展的宏观视角，帮助其理解自己在不同生命阶段的发展任务和目标，从而更好地规划和导航自己的职业生涯路径。</w:t>
            </w:r>
          </w:p>
          <w:p w14:paraId="6A619578">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（三）大学生职业生涯规划的步骤</w:t>
            </w:r>
          </w:p>
          <w:p w14:paraId="13DF9F9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在设计职业生涯规划的过程中，将采用一个综合步骤路径，包括自我认知、环境分析、职业定位、选择职业路线、制订行动计划及评估与调整。这个过程旨在促使个体深入了解自己、准确评估职业环境、明确目标、谨慎规划实现途径，并进行必要的调整以应对个人和环境的变化做出必要调整。通过这一系列步骤，大学生能够为自己的职业生涯打下坚实基础，为实现职业成功和个人满足奠定基石。</w:t>
            </w:r>
          </w:p>
          <w:p w14:paraId="60AA13F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自我认知</w:t>
            </w:r>
          </w:p>
          <w:p w14:paraId="52D8868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职业规划的首要步骤是深入了解自我，这包括对个人的需求、能力、兴趣、价值观和性格特质的全面认识。利用各种工具和方法，如心理测试、自我反思以及向朋友和家人寻求反馈，可以帮助揭示自身的职业偏好和潜在的职业方向。了解自己的优势和弱点，以及这些特质如何与未来的职业选择相匹配，是制定有效职业规划的关键。</w:t>
            </w:r>
          </w:p>
          <w:p w14:paraId="30A1C3F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环境分析</w:t>
            </w:r>
          </w:p>
          <w:p w14:paraId="6A0EC8F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对外部环境进行详细分析，包括了解行业趋势、职业市场的需求、潜在的职业机会以及可能面临的挑战。这一步骤要求收集和分析信息，识别增长中的行业、发展前景良好的职业，以及这些趋势如何影响个人的职业选择。环境分析还涵盖了对当前经济形势、技术发展和政策变化的评估，因为这些因素均可能对职业规划产生显著影响。</w:t>
            </w:r>
          </w:p>
          <w:p w14:paraId="6D4381E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职业定位</w:t>
            </w:r>
          </w:p>
          <w:p w14:paraId="35A4A74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根据自我认知和环境分析的结果，进行职业定位。这一步骤涉及确定一个或多个职业目标，这些目标应该既符合个人特质，又适应外部职业市场的需求。职业定位的过程中，可能需要考虑个人的长期职业愿景和实现这一愿景所需的短期目标。</w:t>
            </w:r>
          </w:p>
          <w:p w14:paraId="1EE8D70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制订行动计划</w:t>
            </w:r>
          </w:p>
          <w:p w14:paraId="6654882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在明确了职业目标后，下一步是选择实现这些目标的具体职业路线。这可能涉及选择合适的教育和培训路径，如大学专业、职业证书课程或其他专业培训。选择职业路线还包括考虑不同的就业选项，如直接就业或进一步的学术深造。</w:t>
            </w:r>
          </w:p>
          <w:p w14:paraId="15BF5FC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5. 开始行动</w:t>
            </w:r>
          </w:p>
          <w:p w14:paraId="53BFB2E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定下职业行动计划后就需要按照计划付诸行动，这也是职业规划当中最核心的环节，好的执行力、行动力才能促使自己最终达成职业目标，否则目标也只是梦想，永远都不会实现。</w:t>
            </w:r>
          </w:p>
          <w:p w14:paraId="13C4EA0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6. 评估与调整</w:t>
            </w:r>
          </w:p>
          <w:p w14:paraId="5FDAC06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职业生涯规划是一个持续的过程，需要根据个人发展和外部环境的变化进行定期评估和必要的调整。设立定期检查点来评估进展情况，确保仍在正确路径上。面对挑战或新机会时，勇于调整计划，确保其始终符合职业目标和当前环境的要求。</w:t>
            </w:r>
          </w:p>
          <w:p w14:paraId="6848922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16 种性格类型及典型职业：</w:t>
            </w:r>
          </w:p>
          <w:p w14:paraId="7802406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 ISTJ—实干者：可靠、有组织、擅长管理事务。典型职业：会计、律师、警察。</w:t>
            </w:r>
          </w:p>
          <w:p w14:paraId="1453806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 ISFJ—护理者：温和、负责、注重传统价值。典型职业：护士、教育家、行政人员。</w:t>
            </w:r>
          </w:p>
          <w:p w14:paraId="4835E94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 INFJ—倡导者：富有洞察力、关怀他人、追求意义。典型职业：心理咨询师、作家、艺术家。</w:t>
            </w:r>
          </w:p>
          <w:p w14:paraId="51E82C4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 INTJ—建筑师：创新、独立、追求知识。典型职业：科学家、工程师、IT专家。</w:t>
            </w:r>
          </w:p>
          <w:p w14:paraId="5FFC981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5. ISTP—观察者：灵活、实际、善于解决问题。典型职业：机械工程师、飞行员、警探。</w:t>
            </w:r>
          </w:p>
          <w:p w14:paraId="5C58111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6. ISFP—冒险家：友好、艺术化、享受当下。典型职业：艺术家、设计师、厨师。</w:t>
            </w:r>
          </w:p>
          <w:p w14:paraId="428DE4B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7. INFP—调解者：理想主义、忠诚、寻找和谐。典型职业：作家、心理学家、教师。</w:t>
            </w:r>
          </w:p>
          <w:p w14:paraId="51D4F69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8. INTP—逻辑学家：创新、好奇、渴望理解复杂概念。典型职业：哲学家、数学家、程序员。</w:t>
            </w:r>
          </w:p>
          <w:p w14:paraId="66AA5DE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9. ESTP—企业家：活跃、社交、善于适应。典型职业：营销专家、体育运动员、销售经理。</w:t>
            </w:r>
          </w:p>
          <w:p w14:paraId="5ED9E75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10. ESFP—表演者：热情、友好、享受生活。典型职业：演员、音乐家、客户服务人员。</w:t>
            </w:r>
          </w:p>
          <w:p w14:paraId="5EFF92A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11. ENFP—激励者：热情、创新、寻求可能性。典型职业：创意总监、顾问、企业家。</w:t>
            </w:r>
          </w:p>
          <w:p w14:paraId="6188AD1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12. ENTP—辩论家：机智、创新、享受挑战。典型职业：企业家、律师、咨询顾问。</w:t>
            </w:r>
          </w:p>
          <w:p w14:paraId="688DC1F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13. ESTJ—管理者：实际、有序、注重效率。典型职业：管理者、军官、法官。</w:t>
            </w:r>
          </w:p>
          <w:p w14:paraId="548DD14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14. ESFJ—照顾者：热心、合作、注重社会秩序。典型职业：社会工作者、销售代表、护理人员。</w:t>
            </w:r>
          </w:p>
          <w:p w14:paraId="62A8714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15. ENFJ—教导者：热情、有同情心、激励他人。典型职业：公关专家、人力资源、教育顾问。</w:t>
            </w:r>
          </w:p>
          <w:p w14:paraId="2D103EC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16. ENTJ—领导者：果断、雄心勃勃、天生领导者。典型职业：公司高管、政治家、创业者。</w:t>
            </w:r>
          </w:p>
          <w:p w14:paraId="15B8720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MBTI 为个体提供了一种自我探索的工具，帮助个体理解自己的性格特质如何影响职业选择和工作表现。通过认识到自己的性格类型，大学生可以更有针对性地探索适合自己的职业道路，制订实现职业目标的行动计划。</w:t>
            </w:r>
          </w:p>
          <w:p w14:paraId="1076B381">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二、大学生常见的择业心理问题</w:t>
            </w:r>
          </w:p>
          <w:p w14:paraId="79AA9017">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（一）焦虑心理：就业市场的竞争与个人期望差距引起的紧张</w:t>
            </w:r>
          </w:p>
          <w:p w14:paraId="6F053E1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就业焦虑在大学生中极为普遍，特别是在毕业临近时更加显著。这种焦虑源于对未来充满的不确定性，以及对个人能力是否能够满足职场需求的担心。大学生担忧无法找到合适的工作，或者担心自己的技能和知识无法达到预期的职业标准。这种心理状态包含了从轻微的不安到极度的恐慌等一系列复杂情绪，严重时会影响到睡眠质量、食欲、注意力的集中，甚至影响日常学习和人际交往。虽然轻度的焦虑可能促使学生采取积极措施准备就业，但长期或过度的焦虑则会导致心理健康问题，降低生活质量和职业发展的主动性。</w:t>
            </w:r>
          </w:p>
          <w:p w14:paraId="45B9A9F0">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（二）自卑心理：自我评价过低，恐惧职场竞争</w:t>
            </w:r>
          </w:p>
          <w:p w14:paraId="5A4C3C1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自卑心理是大学生在择业时常遇到的另一个心理挑战。这种心理状态通常来源于对自己能力的低估和对失败的恐惧，使得大学生在面对职业机会时显得过分谨慎，甚至放弃追求。这种心态不仅限制了个体探索更多职业机会的可能，还可能导致在面对竞争和挑战时轻易放弃。自卑的学生往往倾向于将自己的短板与他人的优点进行比较，进而加剧了自我价值感的缺失。长此以往，这种心理状态不仅会导致职业发展上的停滞，还可能影响到个人的社交关系和整体幸福感。</w:t>
            </w:r>
          </w:p>
          <w:p w14:paraId="4C230F2C">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 xml:space="preserve"> （三）攀比心理：过度关注他人成就，忽视个人进步</w:t>
            </w:r>
          </w:p>
          <w:p w14:paraId="053D9BF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攀比心理在大学生择业过程中较为普遍，许多大学生习惯于将自己的就业状况与同龄人相比，以薪酬、职位、企业品牌等为衡量标准。这种心态虽然可以激发一定程度的竞争动力，但过度的比较会带来巨大的心理负担，使得学生在追求理想职业的过程中产生不必要的压力。因攀比导致的结果往往是对自己实际情况的忽视，追求不切实际的目标，最终可能因达不到过高的期望而感到挫败和失落。这种心态不利于大学生认清自我，理性规划职业生涯。</w:t>
            </w:r>
          </w:p>
          <w:p w14:paraId="06B591EB">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（四）被动心理：在就业过程中消极等待</w:t>
            </w:r>
          </w:p>
          <w:p w14:paraId="6B1F1CD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随着社会变革和就业环境的不断发展，部分大学生在面临就业时展现出被动的态度。一方面，由于其认为就业形势严峻，觉得自己难以通过个人努改变就业结局，因此在就业准备上表现出消极的态度。另一方面，部分大学生依赖父母或学校提供的就业机会，缺乏自我探索和主动求职的动力。这种被动性不仅减少了大学生获得宝贵职业信息的机会，也使得在激烈的就业竞争中处于不利地位。长期的被动态度可能导致其错过适合自己的职业机会，以及在职业生涯早期就形成对工作的不满和挫败感。这种被动心理还可能影响个人的职业发展意识，使个体在未来的工作中缺乏主动性和创新精神，进而影响职业晋升和个人成长。</w:t>
            </w:r>
          </w:p>
          <w:p w14:paraId="1A9EC4B2">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三、大学生择业心理问题的调适</w:t>
            </w:r>
          </w:p>
          <w:p w14:paraId="22C18BE4">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（一）化解就业焦虑：找到职业定位</w:t>
            </w:r>
          </w:p>
          <w:p w14:paraId="581BFE0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对于广泛存在于大学生中的择业焦虑，有效的调适方式，首先，是接受焦虑的正常性。大学生应该认识到，一定程度的焦虑是人类面对不确定性时的自然反应，而不是个人能力存在不足。其次，建立实际可行的职业规划对缓解焦虑至关重要。个体可以通过就业咨询、心理测评以及与他人讨论等方式，明确自己的职业兴趣、能力和价值观，以及市场需求，从而制定出符合自身条件的职业发展路径。此外，学习和练习放松技巧，如深呼吸、正念冥想等，也可以有效减轻焦虑情绪。最后，通过参与社会实践、实习、志愿服务等活动来增加实践经验，增强自信心和社会适应能力，从而减少对未来职业生涯的恐惧和焦虑。</w:t>
            </w:r>
          </w:p>
          <w:p w14:paraId="4F8C7A98">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（二）自我认知与提升：走出自卑阴影</w:t>
            </w:r>
          </w:p>
          <w:p w14:paraId="7990213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面对择业时产生的自卑心理，首先，要做的是建立积极的自我认知。大学生应该通过自我反思，识别并挑战那些自我贬低的思维模式。积极寻找并记录自己的优点、成就和进步，无论多小的成就都值得庆祝，可以通过写日记、制作成就墙等形式实现，以增强自信。其次，设定短期和长期的可实现目标，并庆祝每一个目标的达成，这种成功体验能使个体逐渐建立起自信。此外，参与社交活动和团队合作项目也极为重要，不仅能够帮助个体发现个人的独特价值，还能通过与他人的正面互动减少不必要的自我贬低。最后，对于深层次的自卑情绪，寻求专业心理咨询，与专业人士一起探讨和解决问题，也是一个有效的策略。</w:t>
            </w:r>
          </w:p>
          <w:p w14:paraId="4179931D">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（三）个性化职业规划：超越无谓的比较</w:t>
            </w:r>
          </w:p>
          <w:p w14:paraId="11869EA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为了克服攀比心理，首先自身需要意识到每个人的发展轨迹都是独特的，自我价值不应仅仅基于与他人的比较之上。大学生应当专注于自身的成长和进步，定期回顾自己的成就和学习经历，认识到个人的成长就是最大的成功。此外，设立个性化的职业发展计划，明确自己的目标和方向，而不是盲目跟随他人的选择，可以帮助自己减少无谓的比较。培养多元化的兴趣爱好和技能，能够提升个人的综合能力和自我价值感。加入志愿服务项目和实践活动，通过贡献社会和帮助他人，个体可以从更广阔的视角认识到个人价值的多样性，助力自身成长，减少攀比。</w:t>
            </w:r>
          </w:p>
          <w:p w14:paraId="3A449EFB">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（四）主动出击：打造积极求职态度</w:t>
            </w:r>
          </w:p>
          <w:p w14:paraId="24D5C0F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针对就业过程中的被动心理，关键是培养主动探索和提前做准备的习惯。自身需要提前规划职业生涯，通过参加职业指导讲座等活动，积极了解相关行业的前景和要求，从而拓展就业视野。主动寻找实习机会和参与职业技能培训，这些经验不仅能够丰富简历，也能够提前适应职场环境，缩短毕业后的适应期。同时，建立积极的求职心态，将每一次求职经历视为一次学习和成长的机会，即使面对拒绝和挑战也不气馁。此外，积极建立和维护人际网络，与校友、行业人士进行交流，可以获得宝贵的职业发展建议和就业机会。通过这些方法，个体可以从被动等待转变为积极探索，以更主动的姿态迎接职业生涯的挑战。</w:t>
            </w:r>
          </w:p>
          <w:p w14:paraId="1974BCD7">
            <w:pPr>
              <w:spacing w:line="360" w:lineRule="auto"/>
              <w:rPr>
                <w:rFonts w:hint="eastAsia" w:ascii="Times New Roman" w:hAnsi="Times New Roman" w:cs="Times New Roman"/>
                <w:b/>
                <w:sz w:val="21"/>
                <w:szCs w:val="24"/>
                <w:lang w:val="en-US" w:eastAsia="zh-CN" w:bidi="ar-SA"/>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szCs w:val="24"/>
              </w:rPr>
              <w:t>讨论。</w:t>
            </w:r>
          </w:p>
        </w:tc>
        <w:tc>
          <w:tcPr>
            <w:tcW w:w="1527" w:type="dxa"/>
            <w:tcBorders>
              <w:top w:val="dashSmallGap" w:color="70AD47" w:themeColor="accent6" w:sz="4" w:space="0"/>
              <w:left w:val="dashSmallGap" w:color="70AD47" w:themeColor="accent6" w:sz="4" w:space="0"/>
              <w:bottom w:val="dashSmallGap" w:color="70AD47" w:themeColor="accent6" w:sz="4" w:space="0"/>
            </w:tcBorders>
            <w:shd w:val="clear" w:color="auto" w:fill="auto"/>
            <w:vAlign w:val="center"/>
          </w:tcPr>
          <w:p w14:paraId="58794378">
            <w:pPr>
              <w:spacing w:line="360" w:lineRule="auto"/>
              <w:jc w:val="both"/>
              <w:rPr>
                <w:rFonts w:ascii="Times New Roman" w:hAnsi="Times New Roman"/>
                <w:b/>
                <w:szCs w:val="24"/>
              </w:rPr>
            </w:pPr>
            <w:r>
              <w:rPr>
                <w:rFonts w:hint="eastAsia" w:ascii="Times New Roman Bold" w:hAnsi="Times New Roman Bold"/>
                <w:b w:val="0"/>
                <w:bCs/>
                <w:spacing w:val="6"/>
                <w:sz w:val="21"/>
                <w:szCs w:val="24"/>
                <w:lang w:eastAsia="zh-CN"/>
              </w:rPr>
              <w:t>讲述大学生的职业生涯规划与择业心理</w:t>
            </w:r>
            <w:r>
              <w:rPr>
                <w:rFonts w:hint="eastAsia" w:ascii="Times New Roman Bold" w:hAnsi="Times New Roman Bold"/>
                <w:b w:val="0"/>
                <w:bCs/>
                <w:spacing w:val="6"/>
                <w:sz w:val="21"/>
                <w:szCs w:val="24"/>
              </w:rPr>
              <w:t>，进一步增强学生对</w:t>
            </w:r>
            <w:r>
              <w:rPr>
                <w:rFonts w:hint="eastAsia" w:ascii="Times New Roman Bold" w:hAnsi="Times New Roman Bold"/>
                <w:b w:val="0"/>
                <w:bCs/>
                <w:spacing w:val="6"/>
                <w:sz w:val="21"/>
                <w:szCs w:val="24"/>
                <w:lang w:eastAsia="zh-CN"/>
              </w:rPr>
              <w:t>心理知识的认知</w:t>
            </w:r>
            <w:r>
              <w:rPr>
                <w:rFonts w:hint="eastAsia" w:ascii="Times New Roman Bold" w:hAnsi="Times New Roman Bold"/>
                <w:b w:val="0"/>
                <w:bCs/>
                <w:spacing w:val="6"/>
                <w:sz w:val="21"/>
                <w:szCs w:val="24"/>
              </w:rPr>
              <w:t>。</w:t>
            </w:r>
          </w:p>
        </w:tc>
      </w:tr>
      <w:tr w14:paraId="37E7453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4CE112B">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745A2807">
            <w:pPr>
              <w:spacing w:line="360" w:lineRule="auto"/>
              <w:jc w:val="center"/>
              <w:rPr>
                <w:rFonts w:ascii="Times New Roman" w:hAnsi="Times New Roman"/>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3</w:t>
            </w:r>
            <w:r>
              <w:rPr>
                <w:rFonts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41B980AD">
            <w:pPr>
              <w:widowControl/>
              <w:spacing w:line="360" w:lineRule="auto"/>
              <w:rPr>
                <w:rFonts w:hint="eastAsia" w:ascii="Times New Roman" w:hAnsi="Times New Roman" w:eastAsia="宋体"/>
                <w:b/>
                <w:color w:val="CC0066"/>
                <w:szCs w:val="24"/>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lang w:val="en-US" w:eastAsia="zh-CN"/>
              </w:rPr>
              <w:t>讲解课堂活动</w:t>
            </w:r>
          </w:p>
          <w:p w14:paraId="4A61905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一、心理情景剧：脱下“孔乙己”的长衫</w:t>
            </w:r>
          </w:p>
          <w:p w14:paraId="4AADB4B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活动目的：通过角色扮演，使学生们能够在职业生涯规划发展的各个步骤中找到自己的定位，鼓励学生勇敢追求自己的职业梦想。</w:t>
            </w:r>
          </w:p>
          <w:p w14:paraId="24830C9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活动准备：剧本、道具，提前排练心理剧。</w:t>
            </w:r>
          </w:p>
          <w:p w14:paraId="706D0A6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活动时间：40 分钟。</w:t>
            </w:r>
          </w:p>
          <w:p w14:paraId="354DA29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活动形式：心理情景剧与小组讨论。</w:t>
            </w:r>
          </w:p>
          <w:p w14:paraId="3403895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06D3BBE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（一）第一幕：期待与梦想</w:t>
            </w:r>
          </w:p>
          <w:p w14:paraId="69CF8E0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①场景设置：孔乙己接到父母的电话，父母在电话那头提醒孔乙己，谈及学费、生活费以及供他读书的不易。父母希望孔乙己能找到一个稳定而高薪的工作。</w:t>
            </w:r>
          </w:p>
          <w:p w14:paraId="3EC241C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②角色内心独白：孔乙己心中充满了压力，同时也有自己的梦想和期待，不愿意仅仅为了满足基本的生活需求而工作。</w:t>
            </w:r>
          </w:p>
          <w:p w14:paraId="1EC4724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（一个安静的夜晚，孔乙己坐在书桌前，电话突然响起……）</w:t>
            </w:r>
          </w:p>
          <w:p w14:paraId="2561AAC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孔乙己（接电话）：喂，爸妈。</w:t>
            </w:r>
          </w:p>
          <w:p w14:paraId="341A1FA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父亲的声音：孔乙己，你最近怎么样？快毕业了，有没有好好准备找工作？</w:t>
            </w:r>
          </w:p>
          <w:p w14:paraId="23503D1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母亲的声音（温柔又关切）：孩子，我们供你读大学不容易，希望你能找个好工作，别让我们担心。</w:t>
            </w:r>
          </w:p>
          <w:p w14:paraId="00AD114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孔乙己（有些焦虑）：我知道，爸妈。我也在努力。但我想找一个我真正喜欢的工作，不仅仅是薪水高。</w:t>
            </w:r>
          </w:p>
          <w:p w14:paraId="686B9A8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父亲（声音稍显严厉）：我们理解你有自己的梦想，但现实也很重要。不要太挑剔，稳定才是关键。</w:t>
            </w:r>
          </w:p>
          <w:p w14:paraId="496EC37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母亲：对啊，孔乙己，先稳定下来，未来还有很多机会去追求梦想。</w:t>
            </w:r>
          </w:p>
          <w:p w14:paraId="56CC056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孔乙己（心中挣扎，声音低沉）：我明白，爸妈。我会再想想的。</w:t>
            </w:r>
          </w:p>
          <w:p w14:paraId="2AE09FD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挂电话后，孔乙己沉默片刻，开始内心独白。</w:t>
            </w:r>
          </w:p>
          <w:p w14:paraId="442F861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孔乙己（内心独白）：我知道爸妈为我付出了很多，他们的期待我理解。但我，真的愿意为了一份稳定工作而放弃梦想吗？我内心的追求和外界的期望之间，究竟该如何选择……</w:t>
            </w:r>
          </w:p>
          <w:p w14:paraId="7E25EA8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孔乙己深深叹息，眼前似乎充满了迷雾。镜头缓缓暗下，转入下一幕。</w:t>
            </w:r>
          </w:p>
          <w:p w14:paraId="5C9AEDB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（二）第二幕：固执与现实</w:t>
            </w:r>
          </w:p>
          <w:p w14:paraId="0CE0BCB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①场景设置：孔乙己尝试了多个实习单位，但都因不满意而很快离开。他坚持认为自己的专业技能扎实，不愿从基层做起。</w:t>
            </w:r>
          </w:p>
          <w:p w14:paraId="69FF0B9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②角色冲突：由于频繁更换工作，孔乙己不得不向父母索要生活费，这加剧了他的自我怀疑和焦虑。</w:t>
            </w:r>
          </w:p>
          <w:p w14:paraId="193A416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（宿舍内，孔乙己与舍友小李聊天，面前放着几份简历）</w:t>
            </w:r>
          </w:p>
          <w:p w14:paraId="2EA07B9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孔乙己（叹气）：我真的不明白，为什么找到一份合适的工作这么难。</w:t>
            </w:r>
          </w:p>
          <w:p w14:paraId="7D984A4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小李（好奇）：你不是去了几个实习单位吗？怎么样了？</w:t>
            </w:r>
          </w:p>
          <w:p w14:paraId="41BB2FC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孔乙己（有些不满）：去了，但我觉得那些工作都不能发挥我的专业技能，都是一些基础的工作，我不想从那么低的位置做起。</w:t>
            </w:r>
          </w:p>
          <w:p w14:paraId="3C7F66C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小李（尝试劝解）：但是，孔乙己，每个人都是从基础工作做起的啊。可能一开始不是很理想，但慢慢来嘛。</w:t>
            </w:r>
          </w:p>
          <w:p w14:paraId="7C4F67F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孔乙己（固执己见）：我就是不想浪费时间在我不喜欢的事情上。我宁愿等待，直到找到真正适合我的工作。</w:t>
            </w:r>
          </w:p>
          <w:p w14:paraId="211D265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小李（轻声）：那你现在生活费怎么解决呢？ ……</w:t>
            </w:r>
          </w:p>
          <w:p w14:paraId="3C326A7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孔乙己（沉默片刻，声音低沉）：是啊，我还在找爸妈要生活费，这让我很难受。每次打电话回家，都感觉自己是个失败者，但我又不愿意降低我的标准。</w:t>
            </w:r>
          </w:p>
          <w:p w14:paraId="69BA906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小李（安慰）：我理解你，但现实有时候需要我们做出一些妥协。找到第一份工作最重要是积累经验，你的梦想不会因为起点而改变的。</w:t>
            </w:r>
          </w:p>
          <w:p w14:paraId="307AF64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孔乙己（思考）：也许你说得对。我需要重新考虑一下我的态度了。</w:t>
            </w:r>
          </w:p>
          <w:p w14:paraId="147CF41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对话结束，孔乙己看着手中的简历，若有所思。镜头慢慢暗下，过渡到下一幕。</w:t>
            </w:r>
          </w:p>
          <w:p w14:paraId="3B846F5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（三）第三幕：碰壁与反思</w:t>
            </w:r>
          </w:p>
          <w:p w14:paraId="16945C1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①场景设置：孔乙己在一次次面试失败后，感到迷茫和压抑，他向辅导员寻求帮助。</w:t>
            </w:r>
          </w:p>
          <w:p w14:paraId="73B2400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②角色转变：通过反思自己的实习和面试经历，孔乙己开始按照职业生涯规划的步骤进行自我分析和调整。</w:t>
            </w:r>
          </w:p>
          <w:p w14:paraId="64E81AB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（学校聊天室一角，孔乙己与辅导员坐在一张桌子前，孔乙己面前摊开了一份最新的简历和几份面试反馈记录）</w:t>
            </w:r>
          </w:p>
          <w:p w14:paraId="6BB0BE3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孔乙己（沮丧）：老师，我真的很迷茫，为什么我一次次面试都失败了？我是不是真的不适合这个行业？</w:t>
            </w:r>
          </w:p>
          <w:p w14:paraId="34738AE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辅导员（平和）：孔乙己，失败是每个人都会经历的。关键是你从这些经历中学到了什么。你能告诉我你觉得失败的原因是什么吗？</w:t>
            </w:r>
          </w:p>
          <w:p w14:paraId="536EC36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孔乙己（思索）：我开始意识到，可能是因为我对这个行业的了解还不够深入。还有，我发现自己在面试中总是很紧张，不能很好地展示自己。</w:t>
            </w:r>
          </w:p>
          <w:p w14:paraId="17E2EB0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辅导员（点头）：这是一个很好的开始。能认识到问题，就已经迈出了解决问题的第一步。那么，你有没有考虑过如何改进呢？</w:t>
            </w:r>
          </w:p>
          <w:p w14:paraId="666932D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孔乙己（稍显积极）：我想，我需要更多地了解这个行业，可能参加一些相关的讲座或是短期课程。对于面试的紧张，我打算找朋友模拟面试，提高自信。</w:t>
            </w:r>
          </w:p>
          <w:p w14:paraId="1886241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辅导员（鼓励）：非常好，这些都是很好的策略。除此之外，我建议你进行一些自我分析，找出自己的优势和兴趣点，这样可以更有针对性地选择职位和准备面试。</w:t>
            </w:r>
          </w:p>
          <w:p w14:paraId="36AA09B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孔乙己（灵光一闪）：自我分析？是的，我从来没有真正思考过这个问题。我一直在追求父母和他人的期待，却忽略了自己真正想要什么。</w:t>
            </w:r>
          </w:p>
          <w:p w14:paraId="4B20C02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辅导员（微笑）：每个人的职业生涯都是独一无二的。现在开始，按照自己的节奏去探索，去成长。记住，我一直会支持你。</w:t>
            </w:r>
          </w:p>
          <w:p w14:paraId="407AFC4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对话结束，孔乙己的眼神变得坚定，他开始认真地记录下辅导员的建议，并为自己的下一步行动做规划。镜头缓缓移开，预示着新的开始。</w:t>
            </w:r>
          </w:p>
          <w:p w14:paraId="76BA53F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（四）第四幕：蜕变与成长</w:t>
            </w:r>
          </w:p>
          <w:p w14:paraId="67B21DD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①场景设置：抛弃了过去的固执和被动心理，孔乙己开始脚踏实地，最终在职场上取得了显著的成就。</w:t>
            </w:r>
          </w:p>
          <w:p w14:paraId="41503B0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②角色发展：孔乙己站在新的职业高峰上，分享自己的成长故事，激励着在场的每一个人。</w:t>
            </w:r>
          </w:p>
          <w:p w14:paraId="274000F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（公司的年终总结大会上，孔乙己被邀请上台发言，分享他的职业成长故事。同事们期待地看着他，灯光聚焦在孔乙己身上。他身穿一件象征性的长衫，代表着他过去的自我和固执）</w:t>
            </w:r>
          </w:p>
          <w:p w14:paraId="115FE04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孔乙己（自信而感慨）：大家好，我是孔乙己。今天，我不仅想分享我的成长故事，还要做一件对我意义重大的事情。</w:t>
            </w:r>
          </w:p>
          <w:p w14:paraId="69F3310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孔乙己（回忆）：一年前，我还是那个充满焦虑、迷茫，试图在不适合的环境中寻找自我的毕业生。我固执地追求着虚幻的目标，穿着这件长衫，以为它能给我带来安全感和认同感。</w:t>
            </w:r>
          </w:p>
          <w:p w14:paraId="4ECD611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孔乙己（微笑）：但真正的成长，是从认识到自身的不足开始的。我开始脚踏实地，一步步走出自己的舒适区，寻找真正适合我的道路。</w:t>
            </w:r>
          </w:p>
          <w:p w14:paraId="5CB3A0C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孔乙己（坚定）：我开始主动学习，寻求反馈，勇于面对挑战。我发现，每一个小小的进步，都比过去那无目的的固执更加珍贵。</w:t>
            </w:r>
          </w:p>
          <w:p w14:paraId="67BE36B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孔乙己（展望）：现在，我已经不是那个总是焦虑、迷茫的孔乙己了。我找到了自己的方向，也收获了属于我的成就。</w:t>
            </w:r>
          </w:p>
          <w:p w14:paraId="000AA1F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（孔乙己在此刻，缓缓脱下他的长衫，露出下面的正装。这个动作象征着他摆脱了过去的自我，勇敢地踏上了新的职业旅程）</w:t>
            </w:r>
          </w:p>
          <w:p w14:paraId="526B095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孔乙己（激励）：在座的各位，每个人的职业生涯都会有起有落。重要的是，我们是否敢于脱下那些束缚我们的“长衫”，勇敢追求真正的自我。</w:t>
            </w:r>
          </w:p>
          <w:p w14:paraId="1D29B60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孔乙己（结束语）：谢谢大家，感谢这一年来给予我的支持和鼓励。我会继续努力，不断前行，也希望大家都能找到属于自己的道路，共同成长。</w:t>
            </w:r>
          </w:p>
          <w:p w14:paraId="75CB511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在热烈的掌声中，孔乙己脱下的长衫成了他成长故事中一个重要的转折点，同时也激励着每一位在职业生涯中奋斗的人。</w:t>
            </w:r>
          </w:p>
          <w:p w14:paraId="3730EE8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797CD9B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参与表演的学生分享自己扮演角色的感受。</w:t>
            </w:r>
          </w:p>
          <w:p w14:paraId="09AD87D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班级同学分享观看心理情景剧的感受。</w:t>
            </w:r>
          </w:p>
          <w:p w14:paraId="23F9BD1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教师总结。</w:t>
            </w:r>
          </w:p>
          <w:p w14:paraId="29B6B58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二、未来探索者：职业生涯幻游体验</w:t>
            </w:r>
          </w:p>
          <w:p w14:paraId="4665DE5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活动目的：帮助大学生深入探索和想象自己未来的职业生活，增强对自己职业期望的认识，激发对未来职业规划的思考和行动动力。</w:t>
            </w:r>
          </w:p>
          <w:p w14:paraId="540062B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活动准备：纸、笔、职业生涯幻游卡、用于引导冥想的音乐和生涯幻游指导语。</w:t>
            </w:r>
          </w:p>
          <w:p w14:paraId="3F7D438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活动时间：40～50 分钟。</w:t>
            </w:r>
          </w:p>
          <w:p w14:paraId="4326626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活动形式：以冥想形式进行个人探索，随后小组分享和讨论。</w:t>
            </w:r>
          </w:p>
          <w:p w14:paraId="28D3A35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1D4EB01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冥想引导：教师播放舒缓音乐，学生找到舒适的坐姿，教师朗读《未来探索者：职业生涯幻游体验》指导语，引导学生进行幻游体验。</w:t>
            </w:r>
          </w:p>
          <w:p w14:paraId="1598363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指导语：请调整至舒适的坐姿，轻轻闭上眼睛。深呼吸，吸气，呼气，随着每一次呼吸，感觉自己身体的每一部分逐渐放松，从你的脚开始，慢慢上升到腿部、腰部、胸膛、肩膀，直到头顶。</w:t>
            </w:r>
          </w:p>
          <w:p w14:paraId="5B272B3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此刻，想象自己站在时间的门槛上，面前是一扇通向未来的门。当你准备好，轻轻推开这扇门，走进你未来的生活。你发现自己正站在毕业几年后的某个清晨。首先，感受一下你所在的环境，这是一个怎样的地方？你是否在你梦想中的城市，还是回到了家乡？你的住所是什么样的？是一间温馨的小公寓，还是和朋友共享的房子？</w:t>
            </w:r>
          </w:p>
          <w:p w14:paraId="591EF08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现在，随着早晨的第一缕阳光透进房间，你开始准备新的一天。思考一下，你对即将开始的工作日有什么样的预期和感受？是兴奋、期待还是有些紧张？</w:t>
            </w:r>
          </w:p>
          <w:p w14:paraId="11AB348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想象你出门上班的方式，你是骑自行车穿过城市的小巷，还是选择驾驶小汽车穿梭于街道之间，抑或是步行至附近的办公室？在通往工作地点的路上，你周围的世界是怎样？你能感受到早晨的活力和忙碌吗？</w:t>
            </w:r>
          </w:p>
          <w:p w14:paraId="139603A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当你到达工作地点，描述一下你的工作环境。这是一个开放的办公室，还是一个安静的个人工作间？你的同事们是怎样的人？你们一起工作时的氛围如何？</w:t>
            </w:r>
          </w:p>
          <w:p w14:paraId="6FE7103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在这个工作日中，你会遇到哪些任务和挑战？想象自己如何应对这些工作中的挑战，你是如何与团队合作，共同完成目标的？</w:t>
            </w:r>
          </w:p>
          <w:p w14:paraId="7877A23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随着工作日的结束，你如何度过余下的时间？你是选择与朋友相聚，还是独自享受一段宁静的时光？</w:t>
            </w:r>
          </w:p>
          <w:p w14:paraId="293A697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在一天结束时，你回到了自己的住所，回顾这一天的经历。想象一下，你对这样的生活满意吗？这是不是你期望的职业生涯和生活状态？现在，慢慢地，带着这些体验和感受，从你的未来旅程中回来。当你准备好，轻轻地睁开眼睛，回到现在，带着对未来的新理解和可能的行动计划。</w:t>
            </w:r>
          </w:p>
          <w:p w14:paraId="60FB155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个人反思：冥想结束后，用笔记录自己在幻游中体验到的职业生活的细节。</w:t>
            </w:r>
          </w:p>
          <w:p w14:paraId="29AA956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填写生涯幻游卡：根据个人反思的内容，填写《职业生涯幻游卡》。如表 12-1所示。</w:t>
            </w:r>
          </w:p>
          <w:p w14:paraId="0EB8886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drawing>
                <wp:inline distT="0" distB="0" distL="114300" distR="114300">
                  <wp:extent cx="3328035" cy="1501140"/>
                  <wp:effectExtent l="0" t="0" r="24765" b="2286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4"/>
                          <a:stretch>
                            <a:fillRect/>
                          </a:stretch>
                        </pic:blipFill>
                        <pic:spPr>
                          <a:xfrm>
                            <a:off x="0" y="0"/>
                            <a:ext cx="3328035" cy="1501140"/>
                          </a:xfrm>
                          <a:prstGeom prst="rect">
                            <a:avLst/>
                          </a:prstGeom>
                          <a:noFill/>
                          <a:ln>
                            <a:noFill/>
                          </a:ln>
                        </pic:spPr>
                      </pic:pic>
                    </a:graphicData>
                  </a:graphic>
                </wp:inline>
              </w:drawing>
            </w:r>
          </w:p>
          <w:p w14:paraId="05B583C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4AB69E5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分小组分享自己的幻游体验，讨论各自的职业梦想以及实现这些梦想可能面临的挑战和解决方案。</w:t>
            </w:r>
          </w:p>
          <w:p w14:paraId="3F1E025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每个小组选出 1～2 名代表在全班分享他们的幻游体验和感悟。</w:t>
            </w:r>
          </w:p>
          <w:p w14:paraId="32789E3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教师总结。</w:t>
            </w:r>
          </w:p>
          <w:p w14:paraId="79E4F62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三、师兄师姐职业访谈</w:t>
            </w:r>
          </w:p>
          <w:p w14:paraId="67D2AF0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活动目的：了解师兄师姐的职业生涯，从中汲取职业发展的经验与启示。</w:t>
            </w:r>
          </w:p>
          <w:p w14:paraId="5FF7D01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w:t>
            </w:r>
          </w:p>
          <w:p w14:paraId="02FE8F0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确定访谈对象：通过负责就业的老师、辅导员等，获取已毕业师兄师姐的联系方式。</w:t>
            </w:r>
          </w:p>
          <w:p w14:paraId="0B9A2DC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制定访谈提纲：精心准备一系列细致的访谈问题。</w:t>
            </w:r>
          </w:p>
          <w:p w14:paraId="49F6D18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活动时间：1～2 周时间进行访谈准备和实施；80 分钟课堂展示与分享。</w:t>
            </w:r>
          </w:p>
          <w:p w14:paraId="705F6A8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活动形式：课前以小组形式进行访谈，在课堂上进行个人或小组展示和分享。</w:t>
            </w:r>
          </w:p>
          <w:p w14:paraId="06A148C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0DB8C71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访谈对象选择：选择与个人专业和职业兴趣相匹配的师兄师姐，约定访谈。</w:t>
            </w:r>
          </w:p>
          <w:p w14:paraId="1D8B030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制定访谈提纲：</w:t>
            </w:r>
          </w:p>
          <w:p w14:paraId="428E7FA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（1）个人背景：</w:t>
            </w:r>
          </w:p>
          <w:p w14:paraId="01CC59F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①简述您的专业背景和目前的工作岗位。</w:t>
            </w:r>
          </w:p>
          <w:p w14:paraId="3645651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②您毕业后的第一份工作是什么？这份工作与您的专业有何关联？</w:t>
            </w:r>
          </w:p>
          <w:p w14:paraId="6CDF79A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（2）职业发展：</w:t>
            </w:r>
          </w:p>
          <w:p w14:paraId="7DA7466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①您在职业生涯中遇到的主要挑战有哪些？</w:t>
            </w:r>
          </w:p>
          <w:p w14:paraId="4034488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②您是如何规划自己的职业发展路径的？</w:t>
            </w:r>
          </w:p>
          <w:p w14:paraId="72545CC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（3）行业洞察：</w:t>
            </w:r>
          </w:p>
          <w:p w14:paraId="65BB2A8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①您认为本专业领域未来的发展趋势是什么？</w:t>
            </w:r>
          </w:p>
          <w:p w14:paraId="264ACDD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②对即将步入职场的大学生，您有什么建议？</w:t>
            </w:r>
          </w:p>
          <w:p w14:paraId="540041E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（4）技能与能力：</w:t>
            </w:r>
          </w:p>
          <w:p w14:paraId="7B79BD9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①您认为哪些技能或能力对于您的职业发展至关重要？</w:t>
            </w:r>
          </w:p>
          <w:p w14:paraId="222B426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②学生在校期间应如何准备，以提升这些技能或能力？</w:t>
            </w:r>
          </w:p>
          <w:p w14:paraId="4ACFA3F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（5）工作与生活平衡：</w:t>
            </w:r>
          </w:p>
          <w:p w14:paraId="49C47B1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①您是如何处理工作与个人生活之间的平衡的？</w:t>
            </w:r>
          </w:p>
          <w:p w14:paraId="69A79F0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②对于新入职场的年轻人，您有什么建议来保持这种平衡？</w:t>
            </w:r>
          </w:p>
          <w:p w14:paraId="18978DA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执行访谈：安排访谈时间，采用电话、视频通话或面对面交谈等方式进行。</w:t>
            </w:r>
          </w:p>
          <w:p w14:paraId="19D5A53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访谈内容整理：整理访谈内容，准备课堂分享的主要观点。</w:t>
            </w:r>
          </w:p>
          <w:p w14:paraId="22B5149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5. 课堂上通过 PPT、视频或口头报告等形式，展示师兄师姐的职业访谈结果。</w:t>
            </w:r>
          </w:p>
          <w:p w14:paraId="25911D2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382D52F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从师兄师姐的职业访谈结果中，得到哪些启发？</w:t>
            </w:r>
          </w:p>
          <w:p w14:paraId="62BE255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lang w:val="en-US" w:eastAsia="zh-CN"/>
              </w:rPr>
            </w:pPr>
            <w:r>
              <w:rPr>
                <w:rFonts w:hint="eastAsia" w:ascii="Times New Roman" w:hAnsi="Times New Roman"/>
              </w:rPr>
              <w:t>2. 教师总结。</w:t>
            </w:r>
          </w:p>
          <w:p w14:paraId="041A209B">
            <w:pPr>
              <w:widowControl/>
              <w:spacing w:line="360" w:lineRule="auto"/>
              <w:rPr>
                <w:rFonts w:ascii="Times New Roman" w:hAnsi="Times New Roman"/>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6BF8B81">
            <w:pPr>
              <w:spacing w:line="360" w:lineRule="auto"/>
              <w:jc w:val="both"/>
              <w:rPr>
                <w:rFonts w:ascii="Times New Roman" w:hAnsi="Times New Roman"/>
                <w:b/>
                <w:szCs w:val="24"/>
              </w:rPr>
            </w:pPr>
            <w:r>
              <w:rPr>
                <w:rFonts w:hint="eastAsia" w:ascii="Times New Roman" w:hAnsi="Times New Roman"/>
                <w:b w:val="0"/>
                <w:bCs/>
                <w:spacing w:val="6"/>
                <w:sz w:val="21"/>
                <w:szCs w:val="24"/>
              </w:rPr>
              <w:t>通过</w:t>
            </w:r>
            <w:r>
              <w:rPr>
                <w:rFonts w:hint="eastAsia" w:ascii="Times New Roman" w:hAnsi="Times New Roman"/>
                <w:b w:val="0"/>
                <w:bCs/>
                <w:spacing w:val="6"/>
                <w:sz w:val="21"/>
                <w:szCs w:val="24"/>
                <w:lang w:eastAsia="zh-CN"/>
              </w:rPr>
              <w:t>分享见解</w:t>
            </w:r>
            <w:r>
              <w:rPr>
                <w:rFonts w:hint="eastAsia" w:ascii="Times New Roman" w:hAnsi="Times New Roman"/>
                <w:b w:val="0"/>
                <w:bCs/>
                <w:spacing w:val="6"/>
                <w:sz w:val="21"/>
                <w:szCs w:val="24"/>
              </w:rPr>
              <w:t>，带领学生</w:t>
            </w:r>
            <w:r>
              <w:rPr>
                <w:rFonts w:hint="eastAsia" w:ascii="Times New Roman" w:hAnsi="Times New Roman"/>
                <w:b w:val="0"/>
                <w:bCs/>
                <w:spacing w:val="6"/>
                <w:sz w:val="21"/>
                <w:szCs w:val="24"/>
                <w:lang w:eastAsia="zh-CN"/>
              </w:rPr>
              <w:t>进一步了解课堂活动，</w:t>
            </w:r>
            <w:r>
              <w:rPr>
                <w:rFonts w:hint="eastAsia" w:ascii="Times New Roman" w:hAnsi="Times New Roman"/>
                <w:b w:val="0"/>
                <w:bCs/>
                <w:spacing w:val="6"/>
                <w:sz w:val="21"/>
                <w:szCs w:val="24"/>
              </w:rPr>
              <w:t>客观直接的展示课堂活动的基础知识。</w:t>
            </w:r>
          </w:p>
        </w:tc>
      </w:tr>
      <w:tr w14:paraId="735D45C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1536DAC2">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6822D827">
            <w:pPr>
              <w:spacing w:line="360" w:lineRule="auto"/>
              <w:jc w:val="center"/>
              <w:rPr>
                <w:rFonts w:ascii="Times New Roman" w:hAnsi="Times New Roman"/>
                <w:color w:val="2F5597" w:themeColor="accent5" w:themeShade="BF"/>
              </w:rPr>
            </w:pPr>
            <w:r>
              <w:rPr>
                <w:rFonts w:ascii="Times New Roman" w:hAnsi="Times New Roman"/>
                <w:color w:val="385724" w:themeColor="accent6" w:themeShade="80"/>
                <w:szCs w:val="24"/>
              </w:rPr>
              <w:t>（3</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EAEBC0A">
            <w:pPr>
              <w:spacing w:line="360" w:lineRule="auto"/>
              <w:rPr>
                <w:rFonts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回顾和总结本节课的知识点：</w:t>
            </w:r>
          </w:p>
          <w:p w14:paraId="5643C477">
            <w:pPr>
              <w:spacing w:line="360" w:lineRule="auto"/>
              <w:ind w:firstLine="422" w:firstLineChars="200"/>
              <w:rPr>
                <w:rFonts w:hint="eastAsia" w:ascii="Times New Roman" w:hAnsi="Times New Roman" w:eastAsia="宋体"/>
                <w:b/>
                <w:lang w:eastAsia="zh-CN"/>
              </w:rPr>
            </w:pPr>
            <w:r>
              <w:rPr>
                <w:rFonts w:hint="eastAsia" w:ascii="Times New Roman" w:hAnsi="Times New Roman"/>
                <w:b/>
              </w:rPr>
              <w:t>这节课</w:t>
            </w:r>
            <w:r>
              <w:rPr>
                <w:rFonts w:ascii="Times New Roman" w:hAnsi="Times New Roman"/>
                <w:b/>
              </w:rPr>
              <w:t>上一起学习了</w:t>
            </w:r>
            <w:r>
              <w:rPr>
                <w:rFonts w:hint="eastAsia" w:ascii="宋体" w:hAnsi="宋体" w:cs="宋体"/>
                <w:b/>
                <w:kern w:val="0"/>
                <w:szCs w:val="24"/>
              </w:rPr>
              <w:t>课堂活动</w:t>
            </w:r>
            <w:r>
              <w:rPr>
                <w:rFonts w:hint="eastAsia" w:ascii="Times New Roman" w:hAnsi="Times New Roman"/>
                <w:b/>
              </w:rPr>
              <w:t>。因此了解师兄师姐的职业生涯，从中汲取职业发展的经验与启示。</w:t>
            </w:r>
          </w:p>
          <w:p w14:paraId="4133753C">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0BF15564">
            <w:pPr>
              <w:spacing w:line="360" w:lineRule="auto"/>
              <w:rPr>
                <w:rFonts w:ascii="Times New Roman" w:hAnsi="Times New Roman"/>
                <w:b w:val="0"/>
                <w:bCs/>
              </w:rPr>
            </w:pPr>
            <w:r>
              <w:rPr>
                <w:rFonts w:hint="eastAsia" w:ascii="Times New Roman" w:hAnsi="Times New Roman"/>
                <w:b w:val="0"/>
                <w:bCs/>
              </w:rPr>
              <w:t>通过对所学知识的回顾，培养学生的归纳总结能力。</w:t>
            </w:r>
          </w:p>
        </w:tc>
      </w:tr>
      <w:tr w14:paraId="0F70CB2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9967899">
            <w:pPr>
              <w:spacing w:line="360" w:lineRule="auto"/>
              <w:jc w:val="center"/>
              <w:rPr>
                <w:rFonts w:ascii="Times New Roman" w:hAnsi="Times New Roman"/>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1EE19599">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布置课后作业</w:t>
            </w:r>
          </w:p>
          <w:p w14:paraId="323B3DA8">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eastAsia="宋体"/>
                <w:b/>
                <w:lang w:eastAsia="zh-CN"/>
              </w:rPr>
            </w:pPr>
            <w:r>
              <w:rPr>
                <w:rFonts w:hint="eastAsia" w:ascii="Times New Roman" w:hAnsi="Times New Roman"/>
                <w:b/>
                <w:lang w:val="en-US" w:eastAsia="zh-CN"/>
              </w:rPr>
              <w:t>您在职业生涯中遇到的主要挑战有哪些？</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729BC203">
            <w:pPr>
              <w:spacing w:line="360" w:lineRule="auto"/>
              <w:rPr>
                <w:rFonts w:ascii="Times New Roman" w:hAnsi="Times New Roman"/>
                <w:b w:val="0"/>
                <w:bCs/>
              </w:rPr>
            </w:pPr>
            <w:r>
              <w:rPr>
                <w:rFonts w:hint="eastAsia" w:ascii="Times New Roman" w:hAnsi="Times New Roman"/>
                <w:b w:val="0"/>
                <w:bCs/>
              </w:rPr>
              <w:t>通过课后练习，使学生巩固所学新知识</w:t>
            </w:r>
          </w:p>
        </w:tc>
      </w:tr>
      <w:tr w14:paraId="44B2D7E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CD39AB9">
            <w:pPr>
              <w:spacing w:line="360" w:lineRule="auto"/>
              <w:jc w:val="center"/>
              <w:rPr>
                <w:rFonts w:hint="eastAsia" w:ascii="微软雅黑" w:hAnsi="微软雅黑" w:eastAsia="微软雅黑"/>
                <w:b/>
                <w:color w:val="843C0B" w:themeColor="accent2" w:themeShade="80"/>
                <w:sz w:val="24"/>
                <w:szCs w:val="24"/>
              </w:rPr>
            </w:pPr>
          </w:p>
          <w:p w14:paraId="2D3D5738">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4A92A54B">
            <w:pPr>
              <w:spacing w:line="360" w:lineRule="auto"/>
              <w:jc w:val="center"/>
              <w:rPr>
                <w:rFonts w:ascii="Times New Roman" w:hAnsi="Times New Roman" w:eastAsia="宋体"/>
              </w:rPr>
            </w:pPr>
            <w:r>
              <w:rPr>
                <w:rFonts w:ascii="Times New Roman" w:hAnsi="Times New Roman" w:eastAsia="宋体"/>
                <w:color w:val="843C0B" w:themeColor="accent2" w:themeShade="80"/>
                <w:szCs w:val="24"/>
              </w:rPr>
              <w:t>（</w:t>
            </w:r>
            <w:r>
              <w:rPr>
                <w:rFonts w:hint="eastAsia" w:ascii="Times New Roman" w:hAnsi="Times New Roman" w:eastAsia="宋体"/>
                <w:color w:val="843C0B" w:themeColor="accent2" w:themeShade="80"/>
                <w:szCs w:val="24"/>
                <w:lang w:val="en-US" w:eastAsia="zh-CN"/>
              </w:rPr>
              <w:t>3</w:t>
            </w:r>
            <w:r>
              <w:rPr>
                <w:rFonts w:ascii="Times New Roman" w:hAnsi="Times New Roman" w:eastAsia="宋体"/>
                <w:color w:val="843C0B" w:themeColor="accent2" w:themeShade="80"/>
                <w:szCs w:val="24"/>
              </w:rPr>
              <w:t>5</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4DFBC83E">
            <w:pPr>
              <w:widowControl/>
              <w:spacing w:line="360" w:lineRule="auto"/>
              <w:rPr>
                <w:rFonts w:hint="default" w:ascii="Times New Roman" w:hAnsi="Times New Roman" w:eastAsia="宋体"/>
                <w:b/>
                <w:color w:val="CC0066"/>
                <w:szCs w:val="24"/>
                <w:lang w:val="en-US" w:eastAsia="zh-CN"/>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lang w:val="en-US" w:eastAsia="zh-CN"/>
              </w:rPr>
              <w:t>讲解课后训练</w:t>
            </w:r>
            <w:r>
              <w:rPr>
                <w:rFonts w:hint="eastAsia" w:ascii="Times New Roman" w:hAnsi="Times New Roman"/>
                <w:b/>
                <w:color w:val="CC0066"/>
                <w:szCs w:val="24"/>
                <w:lang w:val="en-US" w:eastAsia="zh-CN"/>
              </w:rPr>
              <w:t>和心理资源</w:t>
            </w:r>
          </w:p>
          <w:p w14:paraId="429B8F3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一、生涯叙事：“我的成就故事”</w:t>
            </w:r>
          </w:p>
          <w:p w14:paraId="405FF82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活动目的：通过回顾个人成功经历，促进学生全面自我认识，构建积极自我形象。</w:t>
            </w:r>
          </w:p>
          <w:p w14:paraId="1930A83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活动准备：纸、笔、舒适且安静的环境。</w:t>
            </w:r>
          </w:p>
          <w:p w14:paraId="2AEC0CB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活动时间：30～40 分钟。</w:t>
            </w:r>
          </w:p>
          <w:p w14:paraId="13E26A3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活动形式：自我分析。</w:t>
            </w:r>
          </w:p>
          <w:p w14:paraId="356C139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61E9B2D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回想并记录从小到大让自己感到自豪和有成就感的事情，不论事情大小，只要让自己感到自豪的经历都可以记录下来。</w:t>
            </w:r>
          </w:p>
          <w:p w14:paraId="1609B9B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从记录的经历中选择最具代表性或最让自己感到自豪的几个事件，将这些事件构建成一篇连贯的故事，着重描述每个事件发生的背景、自己如何应对，以及这些经历有何意义。</w:t>
            </w:r>
          </w:p>
          <w:p w14:paraId="220ECD3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进行深入的个人反思，思考这些经历背后的共同特征，以及它们展现了自己哪方面的个人能力，并思考这些能力和优势如何能够成为自己未来职业规划中的有力资本。</w:t>
            </w:r>
          </w:p>
          <w:p w14:paraId="74ACD26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65B37AF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通过对成功经历的共性分析，你是否更加了解自身的核心能力和优势？</w:t>
            </w:r>
          </w:p>
          <w:p w14:paraId="058075C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如何将你的个人优势和能力转化为职业规划中的有力资本？</w:t>
            </w:r>
          </w:p>
          <w:p w14:paraId="719A4C7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二、解码招聘启事</w:t>
            </w:r>
          </w:p>
          <w:p w14:paraId="3AAB933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活动目的：引导大学生深入分析与所学专业相关的招聘启事，以便深刻理解行业需求，评估自身技能与职位要求的匹配度，进行职业规划。</w:t>
            </w:r>
          </w:p>
          <w:p w14:paraId="212037F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活动准备：计算机 / 手机、笔。</w:t>
            </w:r>
          </w:p>
          <w:p w14:paraId="141D577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活动时间：35～45 分钟。</w:t>
            </w:r>
          </w:p>
          <w:p w14:paraId="295DC53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活动形式：个人探索与分析。</w:t>
            </w:r>
          </w:p>
          <w:p w14:paraId="229EFED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2FE7D04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查找与自己专业领域相关的招聘启事，挑选 3～5 个感兴趣的职位。</w:t>
            </w:r>
          </w:p>
          <w:p w14:paraId="445ABEA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详细分析每个招聘启事的职位描述、技能要求、工作职责和资格条件等。</w:t>
            </w:r>
          </w:p>
          <w:p w14:paraId="088AF79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对照招聘要求，评估自身技能和经验与职位要求的匹配程度，找到需要提升之处。</w:t>
            </w:r>
          </w:p>
          <w:p w14:paraId="15B0CFE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基于分析和自评结果，制订个人职业发展行动计划，包括短期和长期目标，以及达成这些目标的具体步骤。</w:t>
            </w:r>
          </w:p>
          <w:p w14:paraId="0FB038B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057FF68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通过分析招聘启事，你是否加深了对所学专业和行业需求的理解？</w:t>
            </w:r>
          </w:p>
          <w:p w14:paraId="46226F1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通过活动，有没有找到自身优势与待提升区域？</w:t>
            </w:r>
          </w:p>
          <w:p w14:paraId="34430F7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你有制订实现职业目标的可行计划吗？</w:t>
            </w:r>
          </w:p>
          <w:p w14:paraId="4C17E0E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三、时间管理</w:t>
            </w:r>
          </w:p>
          <w:p w14:paraId="52DEAD1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活动目的：引导大学生有效利用时间管理矩阵，将其应用于职业生涯规划和日常学习中，提高时间管理能力。</w:t>
            </w:r>
          </w:p>
          <w:p w14:paraId="1DC41F7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活动准备：时间管理矩阵表格电子版或纸质版。</w:t>
            </w:r>
          </w:p>
          <w:p w14:paraId="33C98A1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活动时间：一周。</w:t>
            </w:r>
          </w:p>
          <w:p w14:paraId="773AFEB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活动形式：每日记录和反思。</w:t>
            </w:r>
          </w:p>
          <w:p w14:paraId="22115E4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203678C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通过阅读资料或观看视频，学习科维的时间管理四象限理论，理解四种类型的任务特点。</w:t>
            </w:r>
          </w:p>
          <w:p w14:paraId="054E07F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列出接下来一周内计划完成的所有任务，包括学习、职业规划、个人发展等，填写到相应的区域。</w:t>
            </w:r>
          </w:p>
          <w:p w14:paraId="6650803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对于每个象限的任务，制订具体的处理策略。特别是重要但不紧急的任务，规划如何分配时间来提前处理，以避免变成紧急且重要的任务。</w:t>
            </w:r>
          </w:p>
          <w:p w14:paraId="4314740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在接下来的一周里，根据行动计划执行任务。每天晚上记录完成情况，反思时间的使用效率和任务处理的优先级安排。</w:t>
            </w:r>
          </w:p>
          <w:p w14:paraId="5A83234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170B975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回顾一周的时间管理实践，评估哪些方法有效，哪些需要改进。</w:t>
            </w:r>
          </w:p>
          <w:p w14:paraId="2756AA8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思考如何将这些时间管理技巧长期应用于职业规划和日常生活中。</w:t>
            </w:r>
          </w:p>
          <w:p w14:paraId="52105EF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心理资源</w:t>
            </w:r>
          </w:p>
          <w:p w14:paraId="6F2B3C9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rPr>
            </w:pPr>
            <w:r>
              <w:rPr>
                <w:rFonts w:hint="eastAsia" w:ascii="Times New Roman" w:hAnsi="Times New Roman" w:eastAsia="宋体"/>
                <w:b/>
                <w:bCs/>
              </w:rPr>
              <w:t>一、书籍——《设计你的工作和人生：如何成长、改变，在工作中找到快乐和新的自由》</w:t>
            </w:r>
          </w:p>
          <w:p w14:paraId="24CD0DF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设计你的工作和人生：如何成长、改变，在工作中找到快乐和新的自由》是由比尔·博内特、戴夫·伊万斯著，中信出版集团出版。本书巧妙地将设计思维应用于职业规划和生活设计之中。它不仅仅是一本关于职业指导的著作，更是一本关于如何通过设计思维来实现个人成长、适应变化，并在职业生涯中寻找到真正的快乐和自由的指南手册。本书的核心在于帮助读者通过实际行动来探索和实验，从而不断地学习和适应，最终在职业生涯中找到自己的路径和满足感。无论你是即将踏入职场的大学生，还是处于职业生涯中期想要寻找新方向的职场人士，本书都将为你提供实用的工具和灵感，引导你在不断变化的世界中找到属于自己的快乐和自由。</w:t>
            </w:r>
          </w:p>
          <w:p w14:paraId="0E3395B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相关书目</w:t>
            </w:r>
          </w:p>
          <w:p w14:paraId="2DD31C3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《希望在于行动：生涯浮流与职业生涯发展》，作者斯宾塞·奈尔斯等，人民邮电出版社。</w:t>
            </w:r>
          </w:p>
          <w:p w14:paraId="58C98EC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《远见：如何规划职业生涯 3 大阶段》，作者布赖恩·费瑟斯通豪，北京联合出版公司。</w:t>
            </w:r>
          </w:p>
          <w:p w14:paraId="5BB9E22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《深度工作：如何有效使用每一点脑力》，作者卡尔·纽波特，江西人民出版社。</w:t>
            </w:r>
          </w:p>
          <w:p w14:paraId="2A522F3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《刻意练习：如何从新手到大师》，作者安德斯·艾利克森、罗伯特·普尔，机械工业出版社。</w:t>
            </w:r>
          </w:p>
          <w:p w14:paraId="1F29CAD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二、电影——《中国合伙人》</w:t>
            </w:r>
          </w:p>
          <w:p w14:paraId="5FEBCE3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中国合伙人》由陈可辛执导，黄晓明、邓超、佟大为主演。成东青，一个农村背景的青年，历经高考失败的挫折，却始终不放弃，以顽强的意志力最终考上北大。在北大，他与来自不同背景但同样怀揣梦想的孟晓骏和王阳结下了深厚的友谊。三人共同的留学梦想因成东青的留下而暂时分道扬镳，但这并未使他们的梦想就此熄灭。留在国内的成东青没有选择屈服于命运，而是开创了自己的事业——一家英语补习班。随着孟晓骏和王阳的加入，补习班越做越大。尽管在成长的道路上，三人经历了误解与分歧，甚至关系一度陷入低谷，但共同的理想和信念最终使他们重拾友谊，共同面对挑战。</w:t>
            </w:r>
          </w:p>
          <w:p w14:paraId="5ECA8D3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中国合伙人》不仅是一部关于创业的电影，更深刻地探讨了友情、理想与现实的抗衡，以及个人价值的实现。它通过三位主人公的生活轨迹，向观众展示了一段段关于坚持与成功的感人故事，激励着每一个为梦想奋斗的人继续前行。</w:t>
            </w:r>
          </w:p>
          <w:p w14:paraId="7837CBF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相关电影</w:t>
            </w:r>
          </w:p>
          <w:p w14:paraId="62C8BE9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《杜拉拉升职记》。</w:t>
            </w:r>
          </w:p>
          <w:p w14:paraId="03709E7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《社交网络》。</w:t>
            </w:r>
          </w:p>
          <w:p w14:paraId="31DA7D6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《在云端》。</w:t>
            </w:r>
          </w:p>
          <w:p w14:paraId="264965D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《实习生》。</w:t>
            </w:r>
          </w:p>
          <w:p w14:paraId="7C2034D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三、音乐——《骄傲的少年》</w:t>
            </w:r>
          </w:p>
          <w:p w14:paraId="08F8368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center"/>
              <w:textAlignment w:val="auto"/>
              <w:rPr>
                <w:rFonts w:hint="eastAsia" w:ascii="Times New Roman" w:hAnsi="Times New Roman" w:eastAsia="宋体"/>
              </w:rPr>
            </w:pPr>
            <w:r>
              <w:rPr>
                <w:rFonts w:hint="eastAsia" w:ascii="Times New Roman" w:hAnsi="Times New Roman" w:eastAsia="宋体"/>
              </w:rPr>
              <w:t>骄傲的少年</w:t>
            </w:r>
          </w:p>
          <w:p w14:paraId="32C5C7F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 xml:space="preserve">作词：赵辰龙 作曲：汀洋 演唱：南征北战 NZBZ </w:t>
            </w:r>
          </w:p>
          <w:p w14:paraId="1F5EC12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在一开始 当初我还是</w:t>
            </w:r>
          </w:p>
          <w:p w14:paraId="7B5657F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一个天真而又爱哭的孩子</w:t>
            </w:r>
          </w:p>
          <w:p w14:paraId="34D09F4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十年之后 终于才明白</w:t>
            </w:r>
          </w:p>
          <w:p w14:paraId="7E7DE46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只要全力以赴就无所谓失败</w:t>
            </w:r>
          </w:p>
          <w:p w14:paraId="1B70138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转眼间 一切都已改变</w:t>
            </w:r>
          </w:p>
          <w:p w14:paraId="3FEBCBF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新的起点新的世界就在眼前</w:t>
            </w:r>
          </w:p>
          <w:p w14:paraId="076505E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受过伤 也流过了眼泪</w:t>
            </w:r>
          </w:p>
          <w:p w14:paraId="1595061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为了梦想疯狂这一次又怎样</w:t>
            </w:r>
          </w:p>
          <w:p w14:paraId="7D55A6B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奔跑吧 骄傲的少年</w:t>
            </w:r>
          </w:p>
          <w:p w14:paraId="5BDE41C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年轻的心里面是坚定的信念</w:t>
            </w:r>
          </w:p>
          <w:p w14:paraId="5073EC1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燃烧吧 骄傲的热血</w:t>
            </w:r>
          </w:p>
          <w:p w14:paraId="5359D43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胜利的歌我要再唱一遍</w:t>
            </w:r>
          </w:p>
          <w:p w14:paraId="61473B1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世界之大 总想要去飞</w:t>
            </w:r>
          </w:p>
          <w:p w14:paraId="705D0E2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就算满身伤痕也不曾后悔</w:t>
            </w:r>
          </w:p>
          <w:p w14:paraId="644E328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无人喝彩 依然在期待</w:t>
            </w:r>
          </w:p>
          <w:p w14:paraId="6F71D65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雨后的彩虹它是那样的精彩</w:t>
            </w:r>
          </w:p>
          <w:p w14:paraId="0908DC6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转眼间 一切都已改变</w:t>
            </w:r>
          </w:p>
          <w:p w14:paraId="11870F8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新的起点新的世界就在眼前</w:t>
            </w:r>
          </w:p>
          <w:p w14:paraId="118EF27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受过伤 也流过了眼泪</w:t>
            </w:r>
          </w:p>
          <w:p w14:paraId="04812F9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为了梦想疯狂这一次又怎样</w:t>
            </w:r>
          </w:p>
          <w:p w14:paraId="37E12C1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奔跑吧 骄傲的少年</w:t>
            </w:r>
          </w:p>
          <w:p w14:paraId="4F0738B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年轻的心里面是坚定的信念</w:t>
            </w:r>
          </w:p>
          <w:p w14:paraId="287F9AA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燃烧吧 骄傲的热血</w:t>
            </w:r>
          </w:p>
          <w:p w14:paraId="1978201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胜利的歌我要再唱一遍</w:t>
            </w:r>
          </w:p>
          <w:p w14:paraId="15B84AB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w:t>
            </w:r>
          </w:p>
          <w:p w14:paraId="59D4BDA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相关音乐</w:t>
            </w:r>
          </w:p>
          <w:p w14:paraId="01F28E1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《远走高飞》，由王耀光作词，金志文作曲。</w:t>
            </w:r>
          </w:p>
          <w:p w14:paraId="73C48B8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《追梦赤子心》，由苏朵作词、作曲。</w:t>
            </w:r>
          </w:p>
          <w:p w14:paraId="3252BA1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《飞云之下》，由易家扬作词，林俊杰作曲。</w:t>
            </w:r>
          </w:p>
          <w:p w14:paraId="1B9AD4D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《你曾是少年》，由肖洋作词，杨子朴作曲。</w:t>
            </w:r>
          </w:p>
          <w:p w14:paraId="0AC1AA4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四、节目——《中国管培生》</w:t>
            </w:r>
          </w:p>
          <w:p w14:paraId="76114B4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中国管培生》是由苏州市委人才办主办，苏州市人社局、团市委和苏州市广电总台联合承办的一档大学生求职观察真人秀节目。节目通过一系列挑战，深入考察了大学生的多项能力，过程中充满了笑声、泪水和成长的瞬间，展现了难忘的求职经历。该节目展示了当代中国大学生的风采，实现企业和人才的双向奔赴，同时也为面临求职的大学生提供了宝贵的求职经验。</w:t>
            </w:r>
          </w:p>
          <w:p w14:paraId="59EBACA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相关节目</w:t>
            </w:r>
          </w:p>
          <w:p w14:paraId="2ECA52E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《令人心动的 offer》。</w:t>
            </w:r>
          </w:p>
          <w:p w14:paraId="1BC45B9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《初入职场的我们》。</w:t>
            </w:r>
          </w:p>
          <w:p w14:paraId="35BC959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《闪闪发光的你》。</w:t>
            </w:r>
          </w:p>
          <w:p w14:paraId="2D916F6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lang w:val="en-US" w:eastAsia="zh-CN"/>
              </w:rPr>
            </w:pPr>
            <w:r>
              <w:rPr>
                <w:rFonts w:hint="eastAsia" w:ascii="Times New Roman" w:hAnsi="Times New Roman" w:eastAsia="宋体"/>
              </w:rPr>
              <w:t>4. 《你好！面试官》</w:t>
            </w:r>
            <w:r>
              <w:rPr>
                <w:rFonts w:hint="eastAsia" w:ascii="Times New Roman" w:hAnsi="Times New Roman"/>
                <w:lang w:eastAsia="zh-CN"/>
              </w:rPr>
              <w:t>。</w:t>
            </w:r>
          </w:p>
          <w:p w14:paraId="12F023A3">
            <w:pPr>
              <w:widowControl/>
              <w:spacing w:line="360" w:lineRule="auto"/>
              <w:rPr>
                <w:rFonts w:ascii="Times New Roman" w:hAnsi="Times New Roman" w:eastAsia="宋体"/>
              </w:rPr>
            </w:pPr>
            <w:r>
              <w:rPr>
                <w:rFonts w:hint="eastAsia" w:ascii="Times New Roman" w:hAnsi="Times New Roman" w:eastAsia="宋体"/>
                <w:b/>
                <w:bCs/>
              </w:rPr>
              <w:t>【</w:t>
            </w:r>
            <w:r>
              <w:rPr>
                <w:rFonts w:hint="eastAsia" w:ascii="Times New Roman" w:hAnsi="Times New Roman" w:eastAsia="宋体"/>
                <w:b/>
                <w:szCs w:val="24"/>
              </w:rPr>
              <w:t>学生</w:t>
            </w:r>
            <w:r>
              <w:rPr>
                <w:rFonts w:hint="eastAsia" w:ascii="Times New Roman" w:hAnsi="Times New Roman" w:eastAsia="宋体"/>
                <w:b/>
                <w:bCs/>
              </w:rPr>
              <w:t>】</w:t>
            </w:r>
            <w:r>
              <w:rPr>
                <w:rFonts w:hint="eastAsia" w:ascii="Times New Roman" w:hAnsi="Times New Roman" w:eastAsia="宋体"/>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0BEF7D6">
            <w:pPr>
              <w:spacing w:line="360" w:lineRule="auto"/>
              <w:jc w:val="both"/>
              <w:rPr>
                <w:rFonts w:hint="eastAsia" w:ascii="Times New Roman" w:hAnsi="Times New Roman" w:eastAsia="宋体"/>
                <w:b w:val="0"/>
                <w:bCs/>
                <w:spacing w:val="6"/>
                <w:sz w:val="21"/>
                <w:szCs w:val="24"/>
              </w:rPr>
            </w:pPr>
          </w:p>
          <w:p w14:paraId="716E1066">
            <w:pPr>
              <w:spacing w:line="360" w:lineRule="auto"/>
              <w:jc w:val="both"/>
              <w:rPr>
                <w:rFonts w:hint="eastAsia" w:ascii="Times New Roman" w:hAnsi="Times New Roman" w:eastAsia="宋体"/>
                <w:b w:val="0"/>
                <w:bCs/>
                <w:spacing w:val="6"/>
                <w:sz w:val="21"/>
                <w:szCs w:val="24"/>
              </w:rPr>
            </w:pPr>
          </w:p>
          <w:p w14:paraId="3B8340C1">
            <w:pPr>
              <w:spacing w:line="360" w:lineRule="auto"/>
              <w:jc w:val="both"/>
              <w:rPr>
                <w:rFonts w:hint="eastAsia" w:ascii="Times New Roman" w:hAnsi="Times New Roman" w:eastAsia="宋体"/>
                <w:b w:val="0"/>
                <w:bCs/>
                <w:spacing w:val="6"/>
                <w:sz w:val="21"/>
                <w:szCs w:val="24"/>
              </w:rPr>
            </w:pPr>
          </w:p>
          <w:p w14:paraId="5859AC12">
            <w:pPr>
              <w:spacing w:line="360" w:lineRule="auto"/>
              <w:jc w:val="both"/>
              <w:rPr>
                <w:rFonts w:ascii="Times New Roman" w:hAnsi="Times New Roman" w:eastAsia="宋体"/>
                <w:b/>
                <w:szCs w:val="24"/>
              </w:rPr>
            </w:pPr>
            <w:r>
              <w:rPr>
                <w:rFonts w:hint="eastAsia" w:ascii="Times New Roman" w:hAnsi="Times New Roman" w:eastAsia="宋体"/>
                <w:b w:val="0"/>
                <w:bCs/>
                <w:spacing w:val="6"/>
                <w:sz w:val="21"/>
                <w:szCs w:val="24"/>
              </w:rPr>
              <w:t>通过</w:t>
            </w:r>
            <w:r>
              <w:rPr>
                <w:rFonts w:hint="eastAsia" w:ascii="Times New Roman" w:hAnsi="Times New Roman" w:eastAsia="宋体"/>
                <w:b w:val="0"/>
                <w:bCs/>
                <w:spacing w:val="6"/>
                <w:sz w:val="21"/>
                <w:szCs w:val="24"/>
                <w:lang w:eastAsia="zh-CN"/>
              </w:rPr>
              <w:t>分享见解</w:t>
            </w:r>
            <w:r>
              <w:rPr>
                <w:rFonts w:hint="eastAsia" w:ascii="Times New Roman" w:hAnsi="Times New Roman" w:eastAsia="宋体"/>
                <w:b w:val="0"/>
                <w:bCs/>
                <w:spacing w:val="6"/>
                <w:sz w:val="21"/>
                <w:szCs w:val="24"/>
              </w:rPr>
              <w:t>，带领学生</w:t>
            </w:r>
            <w:r>
              <w:rPr>
                <w:rFonts w:hint="eastAsia" w:ascii="Times New Roman" w:hAnsi="Times New Roman" w:eastAsia="宋体"/>
                <w:b w:val="0"/>
                <w:bCs/>
                <w:spacing w:val="6"/>
                <w:sz w:val="21"/>
                <w:szCs w:val="24"/>
                <w:lang w:eastAsia="zh-CN"/>
              </w:rPr>
              <w:t>进一步了解课后训练和心理资源，</w:t>
            </w:r>
            <w:r>
              <w:rPr>
                <w:rFonts w:hint="eastAsia" w:ascii="Times New Roman" w:hAnsi="Times New Roman" w:eastAsia="宋体"/>
                <w:b w:val="0"/>
                <w:bCs/>
                <w:spacing w:val="6"/>
                <w:sz w:val="21"/>
                <w:szCs w:val="24"/>
              </w:rPr>
              <w:t>客观直接的展示课后训练和心理资源的基础知识。</w:t>
            </w:r>
          </w:p>
        </w:tc>
      </w:tr>
      <w:tr w14:paraId="53D6716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531794F1">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0CFA21CF">
            <w:pPr>
              <w:spacing w:line="360" w:lineRule="auto"/>
              <w:jc w:val="center"/>
              <w:rPr>
                <w:rFonts w:ascii="Times New Roman" w:hAnsi="Times New Roman" w:eastAsia="宋体"/>
                <w:color w:val="2F5597" w:themeColor="accent5" w:themeShade="BF"/>
              </w:rPr>
            </w:pPr>
            <w:r>
              <w:rPr>
                <w:rFonts w:ascii="Times New Roman" w:hAnsi="Times New Roman" w:eastAsia="宋体"/>
                <w:color w:val="385724" w:themeColor="accent6" w:themeShade="80"/>
                <w:szCs w:val="24"/>
              </w:rPr>
              <w:t>（3</w:t>
            </w:r>
            <w:r>
              <w:rPr>
                <w:rFonts w:hint="eastAsia" w:ascii="Times New Roman" w:hAnsi="Times New Roman" w:eastAsia="宋体"/>
                <w:color w:val="385724" w:themeColor="accent6" w:themeShade="80"/>
                <w:szCs w:val="24"/>
              </w:rPr>
              <w:t>min</w:t>
            </w:r>
            <w:r>
              <w:rPr>
                <w:rFonts w:ascii="Times New Roman" w:hAnsi="Times New Roman" w:eastAsia="宋体"/>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253E10F">
            <w:pPr>
              <w:spacing w:line="360" w:lineRule="auto"/>
              <w:rPr>
                <w:rFonts w:ascii="Times New Roman" w:hAnsi="Times New Roman" w:eastAsia="宋体"/>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回顾和总结本节课的知识点：</w:t>
            </w:r>
          </w:p>
          <w:p w14:paraId="092BF6E7">
            <w:pPr>
              <w:spacing w:line="360" w:lineRule="auto"/>
              <w:ind w:firstLine="422" w:firstLineChars="200"/>
              <w:rPr>
                <w:rFonts w:hint="eastAsia" w:ascii="Times New Roman" w:hAnsi="Times New Roman" w:eastAsia="宋体"/>
                <w:b/>
                <w:lang w:eastAsia="zh-CN"/>
              </w:rPr>
            </w:pPr>
            <w:r>
              <w:rPr>
                <w:rFonts w:hint="eastAsia" w:ascii="Times New Roman" w:hAnsi="Times New Roman" w:eastAsia="宋体"/>
                <w:b/>
              </w:rPr>
              <w:t>这节课</w:t>
            </w:r>
            <w:r>
              <w:rPr>
                <w:rFonts w:ascii="Times New Roman" w:hAnsi="Times New Roman" w:eastAsia="宋体"/>
                <w:b/>
              </w:rPr>
              <w:t>上一起学习了</w:t>
            </w:r>
            <w:r>
              <w:rPr>
                <w:rFonts w:hint="eastAsia" w:ascii="宋体" w:hAnsi="宋体" w:eastAsia="宋体" w:cs="宋体"/>
                <w:b/>
                <w:kern w:val="0"/>
                <w:szCs w:val="24"/>
              </w:rPr>
              <w:t>课后训练和心理资源</w:t>
            </w:r>
            <w:r>
              <w:rPr>
                <w:rFonts w:hint="eastAsia" w:ascii="Times New Roman" w:hAnsi="Times New Roman" w:eastAsia="宋体"/>
                <w:b/>
              </w:rPr>
              <w:t>。因此明白了大学生职业生涯规划的步骤包括自我认知、环境分析、职业定位、制订行动计划、开始行动及评估与调整。</w:t>
            </w:r>
          </w:p>
          <w:p w14:paraId="7464B558">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6A8AA296">
            <w:pPr>
              <w:spacing w:line="360" w:lineRule="auto"/>
              <w:rPr>
                <w:rFonts w:ascii="Times New Roman" w:hAnsi="Times New Roman" w:eastAsia="宋体"/>
                <w:b w:val="0"/>
                <w:bCs/>
              </w:rPr>
            </w:pPr>
            <w:r>
              <w:rPr>
                <w:rFonts w:hint="eastAsia" w:ascii="Times New Roman" w:hAnsi="Times New Roman" w:eastAsia="宋体"/>
                <w:b w:val="0"/>
                <w:bCs/>
              </w:rPr>
              <w:t>通过对所学知识的回顾，培养学生的归纳总结能力。</w:t>
            </w:r>
          </w:p>
        </w:tc>
      </w:tr>
      <w:tr w14:paraId="668EE29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1E504C0">
            <w:pPr>
              <w:spacing w:line="360" w:lineRule="auto"/>
              <w:jc w:val="center"/>
              <w:rPr>
                <w:rFonts w:ascii="Times New Roman" w:hAnsi="Times New Roman" w:eastAsia="宋体"/>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eastAsia="宋体"/>
                <w:color w:val="843C0B" w:themeColor="accent2" w:themeShade="80"/>
                <w:szCs w:val="24"/>
              </w:rPr>
              <w:t>（2</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2417BA74">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rPr>
              <w:t>布置课后作业</w:t>
            </w:r>
          </w:p>
          <w:p w14:paraId="7E20D6CF">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eastAsia="宋体"/>
                <w:b/>
                <w:lang w:eastAsia="zh-CN"/>
              </w:rPr>
            </w:pPr>
            <w:r>
              <w:rPr>
                <w:rFonts w:hint="eastAsia" w:ascii="Times New Roman" w:hAnsi="Times New Roman" w:eastAsia="宋体"/>
                <w:b/>
                <w:lang w:val="en-US" w:eastAsia="zh-CN"/>
              </w:rPr>
              <w:t>你认为在大学阶段，如何提升自己的就业竞争力？</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2D98B413">
            <w:pPr>
              <w:spacing w:line="360" w:lineRule="auto"/>
              <w:rPr>
                <w:rFonts w:ascii="Times New Roman" w:hAnsi="Times New Roman" w:eastAsia="宋体"/>
                <w:b w:val="0"/>
                <w:bCs/>
              </w:rPr>
            </w:pPr>
            <w:r>
              <w:rPr>
                <w:rFonts w:hint="eastAsia" w:ascii="Times New Roman" w:hAnsi="Times New Roman" w:eastAsia="宋体"/>
                <w:b w:val="0"/>
                <w:bCs/>
              </w:rPr>
              <w:t>通过课后练习，使学生巩固所学新知识</w:t>
            </w:r>
          </w:p>
        </w:tc>
      </w:tr>
      <w:tr w14:paraId="2E9C8FC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tcBorders>
            <w:shd w:val="clear" w:color="auto" w:fill="FFD965" w:themeFill="accent4" w:themeFillTint="99"/>
            <w:vAlign w:val="center"/>
          </w:tcPr>
          <w:p w14:paraId="35DBBA56">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843C0B" w:themeColor="accent2" w:themeShade="80"/>
                <w:sz w:val="24"/>
                <w:szCs w:val="24"/>
              </w:rPr>
              <w:t>教学反思</w:t>
            </w:r>
          </w:p>
        </w:tc>
        <w:tc>
          <w:tcPr>
            <w:tcW w:w="8185" w:type="dxa"/>
            <w:gridSpan w:val="2"/>
            <w:tcBorders>
              <w:top w:val="double" w:color="823B0B" w:themeColor="accent2" w:themeShade="7F" w:sz="4" w:space="0"/>
            </w:tcBorders>
            <w:shd w:val="clear" w:color="auto" w:fill="FFD965" w:themeFill="accent4" w:themeFillTint="99"/>
            <w:vAlign w:val="center"/>
          </w:tcPr>
          <w:p w14:paraId="7D862DC6">
            <w:pPr>
              <w:spacing w:line="360" w:lineRule="auto"/>
              <w:rPr>
                <w:rFonts w:ascii="Times New Roman" w:hAnsi="Times New Roman"/>
              </w:rPr>
            </w:pPr>
            <w:r>
              <w:rPr>
                <w:rFonts w:hint="eastAsia" w:ascii="Times New Roman" w:hAnsi="Times New Roman"/>
              </w:rPr>
              <w:t>教学中未充分利用在线学习平台等资源辅助教学。优化方向为合理安排视频播放时间，设计与视频内容相关的问题，引导学生思考讨论。</w:t>
            </w:r>
          </w:p>
        </w:tc>
      </w:tr>
    </w:tbl>
    <w:p w14:paraId="1CD61DC9"/>
    <w:sectPr>
      <w:pgSz w:w="11906" w:h="16838"/>
      <w:pgMar w:top="1134" w:right="850" w:bottom="1134" w:left="85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琥珀">
    <w:panose1 w:val="02010800040101010101"/>
    <w:charset w:val="86"/>
    <w:family w:val="auto"/>
    <w:pitch w:val="default"/>
    <w:sig w:usb0="00000001" w:usb1="080F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Times New Roman Bold">
    <w:altName w:val="Times"/>
    <w:panose1 w:val="02020503050405090304"/>
    <w:charset w:val="00"/>
    <w:family w:val="auto"/>
    <w:pitch w:val="default"/>
    <w:sig w:usb0="00000000" w:usb1="00000000" w:usb2="00000001" w:usb3="00000000" w:csb0="400001BF" w:csb1="DFF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7CB84D">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EC397F">
    <w:pPr>
      <w:pStyle w:val="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362533">
    <w:pPr>
      <w:pStyle w:val="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04E332">
    <w:pPr>
      <w:pStyle w:val="6"/>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0C3050">
    <w:pPr>
      <w:pStyle w:val="6"/>
      <w:pBdr>
        <w:bottom w:val="none" w:color="auto" w:sz="0" w:space="1"/>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F5B17E">
    <w:pPr>
      <w:pStyle w:val="6"/>
      <w:pBdr>
        <w:bottom w:val="none" w:color="auto" w:sz="0" w:space="0"/>
      </w:pBdr>
    </w:pPr>
    <w:r>
      <w:rPr>
        <w:sz w:val="18"/>
      </w:rPr>
      <w:drawing>
        <wp:anchor distT="0" distB="0" distL="114300" distR="114300" simplePos="0" relativeHeight="251659264"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5"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C91E6A">
    <w:pPr>
      <w:pStyle w:val="6"/>
      <w:pBdr>
        <w:bottom w:val="none" w:color="auto" w:sz="0" w:space="1"/>
      </w:pBdr>
    </w:pPr>
    <w:r>
      <w:rPr>
        <w:sz w:val="18"/>
      </w:rPr>
      <w:drawing>
        <wp:anchor distT="0" distB="0" distL="114300" distR="114300" simplePos="0" relativeHeight="251660288"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6"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A853D99"/>
    <w:multiLevelType w:val="multilevel"/>
    <w:tmpl w:val="6A853D99"/>
    <w:lvl w:ilvl="0" w:tentative="0">
      <w:start w:val="1"/>
      <w:numFmt w:val="bullet"/>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2033F"/>
    <w:rsid w:val="0002167A"/>
    <w:rsid w:val="000224F0"/>
    <w:rsid w:val="000251F5"/>
    <w:rsid w:val="000260A1"/>
    <w:rsid w:val="00030C76"/>
    <w:rsid w:val="00032393"/>
    <w:rsid w:val="00032759"/>
    <w:rsid w:val="00033EA9"/>
    <w:rsid w:val="00034267"/>
    <w:rsid w:val="00041045"/>
    <w:rsid w:val="00085814"/>
    <w:rsid w:val="000875D2"/>
    <w:rsid w:val="000907E3"/>
    <w:rsid w:val="0009566F"/>
    <w:rsid w:val="000A4274"/>
    <w:rsid w:val="000B19B1"/>
    <w:rsid w:val="000B265C"/>
    <w:rsid w:val="000B4C54"/>
    <w:rsid w:val="000C0DAE"/>
    <w:rsid w:val="000D3CAC"/>
    <w:rsid w:val="000D661D"/>
    <w:rsid w:val="000E5DC5"/>
    <w:rsid w:val="000F38F8"/>
    <w:rsid w:val="00100C97"/>
    <w:rsid w:val="001227AF"/>
    <w:rsid w:val="001243BA"/>
    <w:rsid w:val="00127930"/>
    <w:rsid w:val="00130FB7"/>
    <w:rsid w:val="001327C7"/>
    <w:rsid w:val="00137B09"/>
    <w:rsid w:val="00141495"/>
    <w:rsid w:val="0014511A"/>
    <w:rsid w:val="001475D3"/>
    <w:rsid w:val="0015161D"/>
    <w:rsid w:val="001706AD"/>
    <w:rsid w:val="00170F4A"/>
    <w:rsid w:val="001769B1"/>
    <w:rsid w:val="00177278"/>
    <w:rsid w:val="001A6E6C"/>
    <w:rsid w:val="001A70B3"/>
    <w:rsid w:val="001B36F7"/>
    <w:rsid w:val="001C4D6A"/>
    <w:rsid w:val="001D051E"/>
    <w:rsid w:val="001D3A8C"/>
    <w:rsid w:val="00202A1C"/>
    <w:rsid w:val="0020518E"/>
    <w:rsid w:val="00206D45"/>
    <w:rsid w:val="002329DE"/>
    <w:rsid w:val="00233CF2"/>
    <w:rsid w:val="00235F6C"/>
    <w:rsid w:val="00240B02"/>
    <w:rsid w:val="0024383A"/>
    <w:rsid w:val="00251B66"/>
    <w:rsid w:val="00264B8B"/>
    <w:rsid w:val="002878FB"/>
    <w:rsid w:val="00287C28"/>
    <w:rsid w:val="00291909"/>
    <w:rsid w:val="00292FEA"/>
    <w:rsid w:val="00294489"/>
    <w:rsid w:val="002A2535"/>
    <w:rsid w:val="002A33A8"/>
    <w:rsid w:val="002A404C"/>
    <w:rsid w:val="002A4158"/>
    <w:rsid w:val="002C1F01"/>
    <w:rsid w:val="002D6662"/>
    <w:rsid w:val="002E184A"/>
    <w:rsid w:val="002E68A4"/>
    <w:rsid w:val="002E7294"/>
    <w:rsid w:val="003126FD"/>
    <w:rsid w:val="00315932"/>
    <w:rsid w:val="00315E59"/>
    <w:rsid w:val="00316415"/>
    <w:rsid w:val="00325F15"/>
    <w:rsid w:val="003422AD"/>
    <w:rsid w:val="003648FD"/>
    <w:rsid w:val="00365BD3"/>
    <w:rsid w:val="0039102B"/>
    <w:rsid w:val="0039306C"/>
    <w:rsid w:val="00393071"/>
    <w:rsid w:val="003A663D"/>
    <w:rsid w:val="003B0CAE"/>
    <w:rsid w:val="003B4179"/>
    <w:rsid w:val="003B6AA4"/>
    <w:rsid w:val="003C495D"/>
    <w:rsid w:val="003D045E"/>
    <w:rsid w:val="003D3443"/>
    <w:rsid w:val="003D4B07"/>
    <w:rsid w:val="003D77B0"/>
    <w:rsid w:val="003F1437"/>
    <w:rsid w:val="003F5B78"/>
    <w:rsid w:val="0040216F"/>
    <w:rsid w:val="00402F26"/>
    <w:rsid w:val="00410165"/>
    <w:rsid w:val="004359A6"/>
    <w:rsid w:val="00444506"/>
    <w:rsid w:val="00474601"/>
    <w:rsid w:val="00481FC2"/>
    <w:rsid w:val="00483B1F"/>
    <w:rsid w:val="0049606E"/>
    <w:rsid w:val="004A1EE5"/>
    <w:rsid w:val="004B3CF6"/>
    <w:rsid w:val="004C029E"/>
    <w:rsid w:val="004C0796"/>
    <w:rsid w:val="004C512D"/>
    <w:rsid w:val="004C5AA3"/>
    <w:rsid w:val="004C740C"/>
    <w:rsid w:val="004C7A80"/>
    <w:rsid w:val="004D147E"/>
    <w:rsid w:val="004D23FC"/>
    <w:rsid w:val="004D2643"/>
    <w:rsid w:val="004D2C8A"/>
    <w:rsid w:val="004D45D7"/>
    <w:rsid w:val="004E1C39"/>
    <w:rsid w:val="004F67EA"/>
    <w:rsid w:val="00510E08"/>
    <w:rsid w:val="00524802"/>
    <w:rsid w:val="00530E72"/>
    <w:rsid w:val="005378FD"/>
    <w:rsid w:val="0055010C"/>
    <w:rsid w:val="00572303"/>
    <w:rsid w:val="00594AC9"/>
    <w:rsid w:val="005A04FD"/>
    <w:rsid w:val="005B2198"/>
    <w:rsid w:val="005E14DD"/>
    <w:rsid w:val="005F1D11"/>
    <w:rsid w:val="00601D08"/>
    <w:rsid w:val="00603EDE"/>
    <w:rsid w:val="00610D47"/>
    <w:rsid w:val="00630A0C"/>
    <w:rsid w:val="006422CD"/>
    <w:rsid w:val="00642E05"/>
    <w:rsid w:val="0065006B"/>
    <w:rsid w:val="006509C8"/>
    <w:rsid w:val="0065152E"/>
    <w:rsid w:val="00655917"/>
    <w:rsid w:val="006621CF"/>
    <w:rsid w:val="00673469"/>
    <w:rsid w:val="006759C7"/>
    <w:rsid w:val="00675D5A"/>
    <w:rsid w:val="00675F8E"/>
    <w:rsid w:val="006840A4"/>
    <w:rsid w:val="0068662B"/>
    <w:rsid w:val="0069310C"/>
    <w:rsid w:val="00693C47"/>
    <w:rsid w:val="00694463"/>
    <w:rsid w:val="006960C8"/>
    <w:rsid w:val="006C4F4C"/>
    <w:rsid w:val="006E0ED7"/>
    <w:rsid w:val="006E1507"/>
    <w:rsid w:val="006F0174"/>
    <w:rsid w:val="006F5420"/>
    <w:rsid w:val="006F683D"/>
    <w:rsid w:val="006F6EAC"/>
    <w:rsid w:val="00706624"/>
    <w:rsid w:val="00721607"/>
    <w:rsid w:val="00723E9C"/>
    <w:rsid w:val="00727DA5"/>
    <w:rsid w:val="00732B84"/>
    <w:rsid w:val="00764EAE"/>
    <w:rsid w:val="00774A06"/>
    <w:rsid w:val="007A1149"/>
    <w:rsid w:val="007A45BB"/>
    <w:rsid w:val="007B69BB"/>
    <w:rsid w:val="007F52A3"/>
    <w:rsid w:val="00834660"/>
    <w:rsid w:val="0084469D"/>
    <w:rsid w:val="0084547D"/>
    <w:rsid w:val="0086345D"/>
    <w:rsid w:val="00867F7F"/>
    <w:rsid w:val="00881A37"/>
    <w:rsid w:val="00895FF2"/>
    <w:rsid w:val="008A0B8D"/>
    <w:rsid w:val="008A17A6"/>
    <w:rsid w:val="008B7BB5"/>
    <w:rsid w:val="008D0DCA"/>
    <w:rsid w:val="008D5353"/>
    <w:rsid w:val="008D7EF6"/>
    <w:rsid w:val="008E003C"/>
    <w:rsid w:val="008E677E"/>
    <w:rsid w:val="008E6A68"/>
    <w:rsid w:val="008F27D3"/>
    <w:rsid w:val="008F2E57"/>
    <w:rsid w:val="008F6E17"/>
    <w:rsid w:val="009056B5"/>
    <w:rsid w:val="00914FD9"/>
    <w:rsid w:val="00916C28"/>
    <w:rsid w:val="00926265"/>
    <w:rsid w:val="00943102"/>
    <w:rsid w:val="009444B5"/>
    <w:rsid w:val="00944501"/>
    <w:rsid w:val="009726EB"/>
    <w:rsid w:val="009751CE"/>
    <w:rsid w:val="00975271"/>
    <w:rsid w:val="009903E1"/>
    <w:rsid w:val="00996E2D"/>
    <w:rsid w:val="009B07F3"/>
    <w:rsid w:val="009C3CC9"/>
    <w:rsid w:val="009C65CB"/>
    <w:rsid w:val="009D1C47"/>
    <w:rsid w:val="009D2B40"/>
    <w:rsid w:val="009E362F"/>
    <w:rsid w:val="00A00006"/>
    <w:rsid w:val="00A01CBA"/>
    <w:rsid w:val="00A03BF7"/>
    <w:rsid w:val="00A04767"/>
    <w:rsid w:val="00A07398"/>
    <w:rsid w:val="00A1764A"/>
    <w:rsid w:val="00A61ADE"/>
    <w:rsid w:val="00A65E57"/>
    <w:rsid w:val="00A66F98"/>
    <w:rsid w:val="00AB118B"/>
    <w:rsid w:val="00AB77E0"/>
    <w:rsid w:val="00AC0908"/>
    <w:rsid w:val="00AC16F9"/>
    <w:rsid w:val="00AC774E"/>
    <w:rsid w:val="00AE4AF0"/>
    <w:rsid w:val="00AE6399"/>
    <w:rsid w:val="00B21432"/>
    <w:rsid w:val="00B25457"/>
    <w:rsid w:val="00B26D0D"/>
    <w:rsid w:val="00B3567A"/>
    <w:rsid w:val="00B47365"/>
    <w:rsid w:val="00B537F5"/>
    <w:rsid w:val="00B745DF"/>
    <w:rsid w:val="00B8084C"/>
    <w:rsid w:val="00B8585D"/>
    <w:rsid w:val="00BA0DFD"/>
    <w:rsid w:val="00BB0931"/>
    <w:rsid w:val="00BB6C06"/>
    <w:rsid w:val="00BB79B5"/>
    <w:rsid w:val="00BC0CDD"/>
    <w:rsid w:val="00BC794F"/>
    <w:rsid w:val="00BF4125"/>
    <w:rsid w:val="00BF7295"/>
    <w:rsid w:val="00C020F4"/>
    <w:rsid w:val="00C03EBC"/>
    <w:rsid w:val="00C10EA9"/>
    <w:rsid w:val="00C13A18"/>
    <w:rsid w:val="00C15D93"/>
    <w:rsid w:val="00C15FA0"/>
    <w:rsid w:val="00C32B34"/>
    <w:rsid w:val="00C539B3"/>
    <w:rsid w:val="00C710BF"/>
    <w:rsid w:val="00C77EDE"/>
    <w:rsid w:val="00C8147F"/>
    <w:rsid w:val="00C870A5"/>
    <w:rsid w:val="00C913C9"/>
    <w:rsid w:val="00CA4BEA"/>
    <w:rsid w:val="00CB086C"/>
    <w:rsid w:val="00CB4DC5"/>
    <w:rsid w:val="00CC1ED3"/>
    <w:rsid w:val="00CD06A1"/>
    <w:rsid w:val="00CD5851"/>
    <w:rsid w:val="00D019D7"/>
    <w:rsid w:val="00D046A4"/>
    <w:rsid w:val="00D1142A"/>
    <w:rsid w:val="00D16E39"/>
    <w:rsid w:val="00D327D7"/>
    <w:rsid w:val="00D35939"/>
    <w:rsid w:val="00D363BC"/>
    <w:rsid w:val="00D41F60"/>
    <w:rsid w:val="00D431BF"/>
    <w:rsid w:val="00D5176B"/>
    <w:rsid w:val="00D52C17"/>
    <w:rsid w:val="00D825C6"/>
    <w:rsid w:val="00D9020D"/>
    <w:rsid w:val="00D9518A"/>
    <w:rsid w:val="00D96E65"/>
    <w:rsid w:val="00DA2BE9"/>
    <w:rsid w:val="00DB13C3"/>
    <w:rsid w:val="00DB2AB8"/>
    <w:rsid w:val="00DB4228"/>
    <w:rsid w:val="00DB7A7E"/>
    <w:rsid w:val="00DC0439"/>
    <w:rsid w:val="00DC2395"/>
    <w:rsid w:val="00DF4461"/>
    <w:rsid w:val="00DF515A"/>
    <w:rsid w:val="00E04B69"/>
    <w:rsid w:val="00E0715F"/>
    <w:rsid w:val="00E12FD7"/>
    <w:rsid w:val="00E5322C"/>
    <w:rsid w:val="00E5467F"/>
    <w:rsid w:val="00E556B1"/>
    <w:rsid w:val="00E665E3"/>
    <w:rsid w:val="00E722E8"/>
    <w:rsid w:val="00E730DA"/>
    <w:rsid w:val="00E778A6"/>
    <w:rsid w:val="00E77BE9"/>
    <w:rsid w:val="00E9409A"/>
    <w:rsid w:val="00E97D22"/>
    <w:rsid w:val="00E97D47"/>
    <w:rsid w:val="00EA4265"/>
    <w:rsid w:val="00EB2A72"/>
    <w:rsid w:val="00EB3F46"/>
    <w:rsid w:val="00EC1603"/>
    <w:rsid w:val="00EE0DE5"/>
    <w:rsid w:val="00EE2C61"/>
    <w:rsid w:val="00F04664"/>
    <w:rsid w:val="00F0749C"/>
    <w:rsid w:val="00F2449F"/>
    <w:rsid w:val="00F250FB"/>
    <w:rsid w:val="00F301FA"/>
    <w:rsid w:val="00F3498F"/>
    <w:rsid w:val="00F507D8"/>
    <w:rsid w:val="00F658F4"/>
    <w:rsid w:val="00F72692"/>
    <w:rsid w:val="00F75EB8"/>
    <w:rsid w:val="00F77709"/>
    <w:rsid w:val="00F84C5E"/>
    <w:rsid w:val="00F96231"/>
    <w:rsid w:val="00FC1E8A"/>
    <w:rsid w:val="00FD5DA0"/>
    <w:rsid w:val="00FF43FF"/>
    <w:rsid w:val="00FF4BDE"/>
    <w:rsid w:val="026F3F06"/>
    <w:rsid w:val="1FF9983E"/>
    <w:rsid w:val="2E0237E8"/>
    <w:rsid w:val="2E544C0E"/>
    <w:rsid w:val="30B61474"/>
    <w:rsid w:val="316300E7"/>
    <w:rsid w:val="33C87681"/>
    <w:rsid w:val="35EB1C9E"/>
    <w:rsid w:val="37D9ECE3"/>
    <w:rsid w:val="3BFF76B0"/>
    <w:rsid w:val="3FFF5074"/>
    <w:rsid w:val="55E02539"/>
    <w:rsid w:val="567F8426"/>
    <w:rsid w:val="5D2123A5"/>
    <w:rsid w:val="619E44D3"/>
    <w:rsid w:val="620B756E"/>
    <w:rsid w:val="6BF7A147"/>
    <w:rsid w:val="6DDF3EBD"/>
    <w:rsid w:val="6FB10D76"/>
    <w:rsid w:val="71AF9D7C"/>
    <w:rsid w:val="79765681"/>
    <w:rsid w:val="7DA623FB"/>
    <w:rsid w:val="7E417A1A"/>
    <w:rsid w:val="7FFFE2CE"/>
    <w:rsid w:val="AEFF9907"/>
    <w:rsid w:val="BF97CDE9"/>
    <w:rsid w:val="BFBFEEE4"/>
    <w:rsid w:val="BFEF97CF"/>
    <w:rsid w:val="DDDDAF9E"/>
    <w:rsid w:val="EF7A02E4"/>
    <w:rsid w:val="F37DEC2A"/>
    <w:rsid w:val="FDBF2465"/>
    <w:rsid w:val="FDD7C48F"/>
    <w:rsid w:val="FDFB5B50"/>
    <w:rsid w:val="FF6FC1D9"/>
    <w:rsid w:val="FF74E43F"/>
    <w:rsid w:val="FFFE7A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rFonts w:ascii="Times New Roman" w:hAnsi="Times New Roman" w:eastAsia="宋体" w:cstheme="minorBidi"/>
      <w:b/>
      <w:kern w:val="44"/>
      <w:sz w:val="44"/>
      <w:szCs w:val="20"/>
    </w:rPr>
  </w:style>
  <w:style w:type="paragraph" w:styleId="3">
    <w:name w:val="heading 3"/>
    <w:basedOn w:val="1"/>
    <w:next w:val="1"/>
    <w:uiPriority w:val="0"/>
    <w:pPr>
      <w:keepNext/>
      <w:keepLines/>
      <w:spacing w:before="260" w:beforeLines="0" w:beforeAutospacing="0" w:after="260" w:afterLines="0" w:afterAutospacing="0" w:line="413" w:lineRule="auto"/>
      <w:outlineLvl w:val="2"/>
    </w:pPr>
    <w:rPr>
      <w:rFonts w:ascii="Times New Roman" w:hAnsi="Times New Roman" w:eastAsia="宋体" w:cstheme="minorBidi"/>
      <w:b/>
      <w:sz w:val="32"/>
      <w:szCs w:val="20"/>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4">
    <w:name w:val="Balloon Text"/>
    <w:basedOn w:val="1"/>
    <w:link w:val="17"/>
    <w:semiHidden/>
    <w:unhideWhenUsed/>
    <w:qFormat/>
    <w:uiPriority w:val="99"/>
    <w:rPr>
      <w:sz w:val="18"/>
      <w:szCs w:val="18"/>
    </w:rPr>
  </w:style>
  <w:style w:type="paragraph" w:styleId="5">
    <w:name w:val="footer"/>
    <w:basedOn w:val="1"/>
    <w:link w:val="16"/>
    <w:unhideWhenUsed/>
    <w:qFormat/>
    <w:uiPriority w:val="99"/>
    <w:pPr>
      <w:tabs>
        <w:tab w:val="center" w:pos="4153"/>
        <w:tab w:val="right" w:pos="8306"/>
      </w:tabs>
      <w:snapToGrid w:val="0"/>
      <w:jc w:val="left"/>
    </w:pPr>
    <w:rPr>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39"/>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6"/>
    <w:qFormat/>
    <w:uiPriority w:val="99"/>
    <w:rPr>
      <w:rFonts w:ascii="Calibri" w:hAnsi="Calibri" w:eastAsia="宋体" w:cs="Times New Roman"/>
      <w:sz w:val="18"/>
      <w:szCs w:val="18"/>
    </w:rPr>
  </w:style>
  <w:style w:type="paragraph" w:customStyle="1" w:styleId="11">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2">
    <w:name w:val="Heading #3|1"/>
    <w:basedOn w:val="1"/>
    <w:link w:val="13"/>
    <w:qFormat/>
    <w:uiPriority w:val="0"/>
    <w:pPr>
      <w:spacing w:after="160"/>
      <w:outlineLvl w:val="2"/>
    </w:pPr>
    <w:rPr>
      <w:rFonts w:ascii="宋体" w:hAnsi="宋体" w:cs="宋体"/>
      <w:color w:val="EC008D"/>
      <w:sz w:val="20"/>
      <w:szCs w:val="20"/>
      <w:lang w:val="zh-TW" w:eastAsia="zh-TW" w:bidi="zh-TW"/>
    </w:rPr>
  </w:style>
  <w:style w:type="character" w:customStyle="1" w:styleId="13">
    <w:name w:val="Heading #3|1 Char"/>
    <w:link w:val="12"/>
    <w:qFormat/>
    <w:uiPriority w:val="0"/>
    <w:rPr>
      <w:rFonts w:ascii="宋体" w:hAnsi="宋体" w:eastAsia="宋体" w:cs="宋体"/>
      <w:color w:val="EC008D"/>
      <w:sz w:val="20"/>
      <w:szCs w:val="20"/>
      <w:lang w:val="zh-TW" w:eastAsia="zh-TW" w:bidi="zh-TW"/>
    </w:rPr>
  </w:style>
  <w:style w:type="paragraph" w:customStyle="1" w:styleId="14">
    <w:name w:val="Body text|1"/>
    <w:basedOn w:val="1"/>
    <w:link w:val="15"/>
    <w:unhideWhenUsed/>
    <w:qFormat/>
    <w:uiPriority w:val="0"/>
    <w:pPr>
      <w:spacing w:line="360" w:lineRule="auto"/>
      <w:ind w:firstLine="400"/>
    </w:pPr>
    <w:rPr>
      <w:rFonts w:ascii="宋体" w:hAnsi="宋体" w:cs="宋体"/>
      <w:sz w:val="20"/>
      <w:szCs w:val="20"/>
      <w:lang w:val="zh-TW" w:eastAsia="zh-TW" w:bidi="zh-TW"/>
    </w:rPr>
  </w:style>
  <w:style w:type="character" w:customStyle="1" w:styleId="15">
    <w:name w:val="Body text|1 Char"/>
    <w:link w:val="14"/>
    <w:qFormat/>
    <w:uiPriority w:val="0"/>
    <w:rPr>
      <w:rFonts w:ascii="宋体" w:hAnsi="宋体" w:eastAsia="宋体" w:cs="宋体"/>
      <w:sz w:val="20"/>
      <w:szCs w:val="20"/>
      <w:lang w:val="zh-TW" w:eastAsia="zh-TW" w:bidi="zh-TW"/>
    </w:rPr>
  </w:style>
  <w:style w:type="character" w:customStyle="1" w:styleId="16">
    <w:name w:val="页脚 Char"/>
    <w:basedOn w:val="9"/>
    <w:link w:val="5"/>
    <w:qFormat/>
    <w:uiPriority w:val="99"/>
    <w:rPr>
      <w:rFonts w:ascii="Calibri" w:hAnsi="Calibri" w:eastAsia="宋体" w:cs="Times New Roman"/>
      <w:sz w:val="18"/>
      <w:szCs w:val="18"/>
    </w:rPr>
  </w:style>
  <w:style w:type="character" w:customStyle="1" w:styleId="17">
    <w:name w:val="批注框文本 Char"/>
    <w:basedOn w:val="9"/>
    <w:link w:val="4"/>
    <w:semiHidden/>
    <w:uiPriority w:val="99"/>
    <w:rPr>
      <w:rFonts w:ascii="Calibri" w:hAnsi="Calibri"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theme" Target="theme/theme1.xml"/><Relationship Id="rId1" Type="http://schemas.openxmlformats.org/officeDocument/2006/relationships/styles" Target="styles.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dxing\Library\Containers\com.kingsoft.wpsoffice.mac\Data\C:\Users\liuyue\Library\Containers\com.kingsoft.wpsoffice.mac\Data\&#31179;&#26085;&#22805;&#38451;&#35199;&#19979;.wp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自然型"/>
      <sectRole val="1"/>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25</Pages>
  <Words>15319</Words>
  <Characters>15569</Characters>
  <Lines>37</Lines>
  <Paragraphs>10</Paragraphs>
  <TotalTime>128</TotalTime>
  <ScaleCrop>false</ScaleCrop>
  <LinksUpToDate>false</LinksUpToDate>
  <CharactersWithSpaces>15734</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2021-06-12T16:16:00Z</dcterms:created>
  <dc:creator>DELL</dc:creator>
  <cp:lastModifiedBy>武静影</cp:lastModifiedBy>
  <dcterms:modified xsi:type="dcterms:W3CDTF">2025-07-05T02:02:05Z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0561D407A2F7835B735D6568E01DE95B_43</vt:lpwstr>
  </property>
  <property fmtid="{D5CDD505-2E9C-101B-9397-08002B2CF9AE}" pid="4" name="KSOTemplateDocerSaveRecord">
    <vt:lpwstr>eyJoZGlkIjoiYzczYzkzNjdkOTliYjY1MjFlZTYwY2Q5MmE3YzU2NWEiLCJ1c2VySWQiOiIxMDQ3NDY2NzU5In0=</vt:lpwstr>
  </property>
</Properties>
</file>