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1311EDC">
      <w:pPr>
        <w:keepNext/>
        <w:keepLines/>
        <w:spacing w:before="260" w:after="260" w:line="416" w:lineRule="atLeast"/>
        <w:jc w:val="center"/>
        <w:outlineLvl w:val="1"/>
        <w:rPr>
          <w:rFonts w:ascii="Times New Roman" w:hAnsi="Times New Roman"/>
          <w:b/>
          <w:bCs/>
          <w:sz w:val="28"/>
          <w:szCs w:val="28"/>
        </w:rPr>
      </w:pPr>
      <w:r>
        <w:rPr>
          <w:rFonts w:hint="eastAsia" w:ascii="Times New Roman" w:hAnsi="Times New Roman"/>
          <w:b/>
          <w:bCs/>
          <w:sz w:val="28"/>
          <w:szCs w:val="28"/>
          <w:lang w:val="en-US" w:eastAsia="zh-CN"/>
        </w:rPr>
        <w:t>学习单元五</w:t>
      </w:r>
      <w:r>
        <w:rPr>
          <w:rFonts w:hint="eastAsia" w:ascii="Times New Roman" w:hAnsi="Times New Roman"/>
          <w:b/>
          <w:bCs/>
          <w:sz w:val="28"/>
          <w:szCs w:val="28"/>
        </w:rPr>
        <w:t xml:space="preserve">  新能源汽车充电系统故障诊断与修复</w:t>
      </w:r>
    </w:p>
    <w:tbl>
      <w:tblPr>
        <w:tblStyle w:val="9"/>
        <w:tblW w:w="8449" w:type="dxa"/>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1276"/>
        <w:gridCol w:w="5807"/>
        <w:gridCol w:w="1366"/>
      </w:tblGrid>
      <w:tr w14:paraId="6D963732">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0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2979085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eastAsia" w:ascii="宋体" w:hAnsi="宋体" w:eastAsia="宋体" w:cs="宋体"/>
                <w:b/>
                <w:szCs w:val="20"/>
              </w:rPr>
            </w:pPr>
            <w:r>
              <w:rPr>
                <w:rFonts w:hint="eastAsia" w:ascii="宋体" w:hAnsi="宋体" w:eastAsia="宋体" w:cs="宋体"/>
                <w:b/>
                <w:szCs w:val="20"/>
              </w:rPr>
              <w:t>课  题</w:t>
            </w:r>
          </w:p>
        </w:tc>
        <w:tc>
          <w:tcPr>
            <w:tcW w:w="7173" w:type="dxa"/>
            <w:gridSpan w:val="2"/>
            <w:tcBorders>
              <w:top w:val="single" w:color="auto" w:sz="4" w:space="0"/>
              <w:left w:val="single" w:color="auto" w:sz="4" w:space="0"/>
              <w:bottom w:val="single" w:color="auto" w:sz="4" w:space="0"/>
              <w:right w:val="single" w:color="auto" w:sz="4" w:space="0"/>
            </w:tcBorders>
            <w:vAlign w:val="center"/>
          </w:tcPr>
          <w:p w14:paraId="7AFAEF6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宋体" w:hAnsi="宋体" w:eastAsia="宋体" w:cs="宋体"/>
                <w:szCs w:val="20"/>
              </w:rPr>
            </w:pPr>
            <w:r>
              <w:rPr>
                <w:rFonts w:hint="eastAsia" w:ascii="宋体" w:hAnsi="宋体" w:eastAsia="宋体" w:cs="宋体"/>
                <w:szCs w:val="20"/>
              </w:rPr>
              <w:t>新能源汽车充电系统故障诊断与修复</w:t>
            </w:r>
          </w:p>
        </w:tc>
      </w:tr>
      <w:tr w14:paraId="69636A9A">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7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42329E4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eastAsia" w:ascii="宋体" w:hAnsi="宋体" w:eastAsia="宋体" w:cs="宋体"/>
                <w:b/>
                <w:szCs w:val="20"/>
              </w:rPr>
            </w:pPr>
            <w:r>
              <w:rPr>
                <w:rFonts w:hint="eastAsia" w:ascii="宋体" w:hAnsi="宋体" w:eastAsia="宋体" w:cs="宋体"/>
                <w:b/>
                <w:szCs w:val="20"/>
              </w:rPr>
              <w:t>课  时</w:t>
            </w:r>
          </w:p>
        </w:tc>
        <w:tc>
          <w:tcPr>
            <w:tcW w:w="7173" w:type="dxa"/>
            <w:gridSpan w:val="2"/>
            <w:tcBorders>
              <w:top w:val="single" w:color="auto" w:sz="4" w:space="0"/>
              <w:left w:val="single" w:color="auto" w:sz="4" w:space="0"/>
              <w:bottom w:val="single" w:color="auto" w:sz="4" w:space="0"/>
              <w:right w:val="single" w:color="auto" w:sz="4" w:space="0"/>
            </w:tcBorders>
            <w:vAlign w:val="center"/>
          </w:tcPr>
          <w:p w14:paraId="66607D4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宋体" w:hAnsi="宋体" w:eastAsia="宋体" w:cs="宋体"/>
                <w:szCs w:val="20"/>
              </w:rPr>
            </w:pPr>
            <w:r>
              <w:rPr>
                <w:rFonts w:hint="eastAsia" w:ascii="宋体" w:hAnsi="宋体" w:eastAsia="宋体" w:cs="宋体"/>
                <w:szCs w:val="20"/>
                <w:lang w:val="en-US" w:eastAsia="zh-CN"/>
              </w:rPr>
              <w:t>8</w:t>
            </w:r>
            <w:r>
              <w:rPr>
                <w:rFonts w:hint="eastAsia" w:ascii="宋体" w:hAnsi="宋体" w:eastAsia="宋体" w:cs="宋体"/>
                <w:szCs w:val="20"/>
              </w:rPr>
              <w:t>课时（</w:t>
            </w:r>
            <w:r>
              <w:rPr>
                <w:rFonts w:hint="eastAsia" w:ascii="宋体" w:hAnsi="宋体" w:eastAsia="宋体" w:cs="宋体"/>
                <w:szCs w:val="20"/>
                <w:lang w:val="en-US" w:eastAsia="zh-CN"/>
              </w:rPr>
              <w:t>260</w:t>
            </w:r>
            <w:r>
              <w:rPr>
                <w:rFonts w:hint="eastAsia" w:ascii="宋体" w:hAnsi="宋体" w:eastAsia="宋体" w:cs="宋体"/>
                <w:szCs w:val="20"/>
              </w:rPr>
              <w:t xml:space="preserve"> min）。</w:t>
            </w:r>
          </w:p>
        </w:tc>
      </w:tr>
      <w:tr w14:paraId="2C440268">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777" w:hRule="atLeast"/>
          <w:jc w:val="center"/>
        </w:trPr>
        <w:tc>
          <w:tcPr>
            <w:tcW w:w="1276" w:type="dxa"/>
            <w:tcBorders>
              <w:top w:val="single" w:color="auto" w:sz="4" w:space="0"/>
              <w:left w:val="single" w:color="auto" w:sz="4" w:space="0"/>
              <w:right w:val="single" w:color="auto" w:sz="4" w:space="0"/>
            </w:tcBorders>
            <w:vAlign w:val="center"/>
          </w:tcPr>
          <w:p w14:paraId="7212468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eastAsia" w:ascii="宋体" w:hAnsi="宋体" w:eastAsia="宋体" w:cs="宋体"/>
                <w:b/>
                <w:szCs w:val="20"/>
              </w:rPr>
            </w:pPr>
            <w:r>
              <w:rPr>
                <w:rFonts w:hint="eastAsia" w:ascii="宋体" w:hAnsi="宋体" w:eastAsia="宋体" w:cs="宋体"/>
                <w:b/>
                <w:szCs w:val="20"/>
              </w:rPr>
              <w:t>教学目标</w:t>
            </w:r>
          </w:p>
        </w:tc>
        <w:tc>
          <w:tcPr>
            <w:tcW w:w="7173" w:type="dxa"/>
            <w:gridSpan w:val="2"/>
            <w:tcBorders>
              <w:top w:val="single" w:color="auto" w:sz="4" w:space="0"/>
              <w:left w:val="single" w:color="auto" w:sz="4" w:space="0"/>
              <w:bottom w:val="single" w:color="auto" w:sz="4" w:space="0"/>
              <w:right w:val="single" w:color="auto" w:sz="4" w:space="0"/>
            </w:tcBorders>
            <w:vAlign w:val="center"/>
          </w:tcPr>
          <w:p w14:paraId="0530FA8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hanging="8"/>
              <w:textAlignment w:val="auto"/>
              <w:rPr>
                <w:rFonts w:hint="eastAsia" w:ascii="宋体" w:hAnsi="宋体" w:eastAsia="宋体" w:cs="宋体"/>
                <w:b/>
              </w:rPr>
            </w:pPr>
            <w:r>
              <w:rPr>
                <w:rFonts w:hint="eastAsia" w:ascii="宋体" w:hAnsi="宋体" w:eastAsia="宋体" w:cs="宋体"/>
                <w:b/>
              </w:rPr>
              <w:t>知识技能目标：</w:t>
            </w:r>
          </w:p>
          <w:p w14:paraId="1E9A76E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宋体" w:hAnsi="宋体" w:eastAsia="宋体" w:cs="宋体"/>
                <w:bCs/>
                <w:szCs w:val="20"/>
              </w:rPr>
            </w:pPr>
            <w:r>
              <w:rPr>
                <w:rFonts w:hint="eastAsia" w:ascii="宋体" w:hAnsi="宋体" w:eastAsia="宋体" w:cs="宋体"/>
                <w:szCs w:val="20"/>
              </w:rPr>
              <w:t>1</w:t>
            </w:r>
            <w:r>
              <w:rPr>
                <w:rFonts w:hint="eastAsia" w:ascii="宋体" w:hAnsi="宋体" w:eastAsia="宋体" w:cs="宋体"/>
                <w:bCs/>
                <w:szCs w:val="20"/>
              </w:rPr>
              <w:t>．了解慢充系统故障诊断与修复。</w:t>
            </w:r>
          </w:p>
          <w:p w14:paraId="38F2FFE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宋体" w:hAnsi="宋体" w:eastAsia="宋体" w:cs="宋体"/>
                <w:szCs w:val="20"/>
              </w:rPr>
            </w:pPr>
            <w:r>
              <w:rPr>
                <w:rFonts w:hint="eastAsia" w:ascii="宋体" w:hAnsi="宋体" w:eastAsia="宋体" w:cs="宋体"/>
                <w:szCs w:val="20"/>
              </w:rPr>
              <w:t>2</w:t>
            </w:r>
            <w:r>
              <w:rPr>
                <w:rFonts w:hint="eastAsia" w:ascii="宋体" w:hAnsi="宋体" w:eastAsia="宋体" w:cs="宋体"/>
                <w:bCs/>
                <w:szCs w:val="20"/>
              </w:rPr>
              <w:t>．通过学习与练习掌握</w:t>
            </w:r>
            <w:r>
              <w:rPr>
                <w:rFonts w:hint="eastAsia" w:ascii="宋体" w:hAnsi="宋体" w:eastAsia="宋体" w:cs="宋体"/>
                <w:bCs/>
                <w:szCs w:val="20"/>
                <w:lang w:eastAsia="zh-CN"/>
              </w:rPr>
              <w:t>快充系统故障诊断与修复</w:t>
            </w:r>
            <w:r>
              <w:rPr>
                <w:rFonts w:hint="eastAsia" w:ascii="宋体" w:hAnsi="宋体" w:eastAsia="宋体" w:cs="宋体"/>
                <w:bCs/>
                <w:szCs w:val="20"/>
              </w:rPr>
              <w:t>。</w:t>
            </w:r>
          </w:p>
          <w:p w14:paraId="006C166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宋体" w:hAnsi="宋体" w:eastAsia="宋体" w:cs="宋体"/>
                <w:b/>
                <w:szCs w:val="20"/>
              </w:rPr>
            </w:pPr>
            <w:r>
              <w:rPr>
                <w:rFonts w:hint="eastAsia" w:ascii="宋体" w:hAnsi="宋体" w:eastAsia="宋体" w:cs="宋体"/>
                <w:b/>
                <w:szCs w:val="20"/>
              </w:rPr>
              <w:t>思政育人目标：</w:t>
            </w:r>
          </w:p>
          <w:p w14:paraId="79C0B59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宋体" w:hAnsi="宋体" w:eastAsia="宋体" w:cs="宋体"/>
                <w:szCs w:val="20"/>
                <w:lang w:eastAsia="zh-CN"/>
              </w:rPr>
            </w:pPr>
            <w:r>
              <w:rPr>
                <w:rFonts w:hint="eastAsia" w:ascii="宋体" w:hAnsi="宋体" w:eastAsia="宋体" w:cs="宋体"/>
                <w:bCs/>
                <w:szCs w:val="20"/>
              </w:rPr>
              <w:t>让学生通过学习</w:t>
            </w:r>
            <w:r>
              <w:rPr>
                <w:rFonts w:hint="eastAsia" w:ascii="宋体" w:hAnsi="宋体" w:eastAsia="宋体" w:cs="宋体"/>
                <w:bCs/>
                <w:szCs w:val="20"/>
                <w:lang w:eastAsia="zh-CN"/>
              </w:rPr>
              <w:t>新能源汽车充电系统故障诊断与修复</w:t>
            </w:r>
            <w:r>
              <w:rPr>
                <w:rFonts w:hint="eastAsia" w:ascii="宋体" w:hAnsi="宋体" w:eastAsia="宋体" w:cs="宋体"/>
                <w:bCs/>
                <w:szCs w:val="20"/>
              </w:rPr>
              <w:t>，提高学生人文素养和新能源汽车的维修业务能力，彰显新能源汽车维修顾问的专业能力与职业素养</w:t>
            </w:r>
            <w:r>
              <w:rPr>
                <w:rFonts w:hint="eastAsia" w:ascii="宋体" w:hAnsi="宋体" w:eastAsia="宋体" w:cs="宋体"/>
                <w:bCs/>
                <w:szCs w:val="20"/>
                <w:lang w:eastAsia="zh-CN"/>
              </w:rPr>
              <w:t>。</w:t>
            </w:r>
          </w:p>
        </w:tc>
      </w:tr>
      <w:tr w14:paraId="38900FBB">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7F1DBF0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eastAsia" w:ascii="宋体" w:hAnsi="宋体" w:eastAsia="宋体" w:cs="宋体"/>
                <w:b/>
                <w:szCs w:val="20"/>
              </w:rPr>
            </w:pPr>
            <w:r>
              <w:rPr>
                <w:rFonts w:hint="eastAsia" w:ascii="宋体" w:hAnsi="宋体" w:eastAsia="宋体" w:cs="宋体"/>
                <w:b/>
                <w:szCs w:val="20"/>
              </w:rPr>
              <w:t>教学重难点</w:t>
            </w:r>
          </w:p>
        </w:tc>
        <w:tc>
          <w:tcPr>
            <w:tcW w:w="7173" w:type="dxa"/>
            <w:gridSpan w:val="2"/>
            <w:tcBorders>
              <w:top w:val="single" w:color="auto" w:sz="4" w:space="0"/>
              <w:left w:val="single" w:color="auto" w:sz="4" w:space="0"/>
              <w:bottom w:val="single" w:color="auto" w:sz="4" w:space="0"/>
              <w:right w:val="single" w:color="auto" w:sz="4" w:space="0"/>
            </w:tcBorders>
            <w:vAlign w:val="center"/>
          </w:tcPr>
          <w:p w14:paraId="1AB467B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宋体" w:hAnsi="宋体" w:eastAsia="宋体" w:cs="宋体"/>
                <w:szCs w:val="20"/>
                <w:lang w:eastAsia="zh-CN"/>
              </w:rPr>
            </w:pPr>
            <w:r>
              <w:rPr>
                <w:rFonts w:hint="eastAsia" w:ascii="宋体" w:hAnsi="宋体" w:eastAsia="宋体" w:cs="宋体"/>
                <w:b/>
                <w:szCs w:val="20"/>
              </w:rPr>
              <w:t>教学重点：</w:t>
            </w:r>
            <w:r>
              <w:rPr>
                <w:rFonts w:hint="eastAsia" w:ascii="宋体" w:hAnsi="宋体" w:eastAsia="宋体" w:cs="宋体"/>
                <w:kern w:val="0"/>
              </w:rPr>
              <w:t>慢充系统故障诊断与修复</w:t>
            </w:r>
          </w:p>
          <w:p w14:paraId="3A79236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宋体" w:hAnsi="宋体" w:eastAsia="宋体" w:cs="宋体"/>
                <w:szCs w:val="20"/>
              </w:rPr>
            </w:pPr>
            <w:r>
              <w:rPr>
                <w:rFonts w:hint="eastAsia" w:ascii="宋体" w:hAnsi="宋体" w:eastAsia="宋体" w:cs="宋体"/>
                <w:b/>
                <w:szCs w:val="20"/>
              </w:rPr>
              <w:t>教学难点：</w:t>
            </w:r>
            <w:r>
              <w:rPr>
                <w:rFonts w:hint="eastAsia" w:ascii="宋体" w:hAnsi="宋体" w:eastAsia="宋体" w:cs="宋体"/>
                <w:kern w:val="0"/>
              </w:rPr>
              <w:t>快充系统故障诊断与修复</w:t>
            </w:r>
            <w:r>
              <w:rPr>
                <w:rFonts w:hint="eastAsia" w:ascii="宋体" w:hAnsi="宋体" w:eastAsia="宋体" w:cs="宋体"/>
                <w:kern w:val="0"/>
              </w:rPr>
              <w:tab/>
            </w:r>
          </w:p>
        </w:tc>
      </w:tr>
      <w:tr w14:paraId="56922001">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6EDE18A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eastAsia" w:ascii="宋体" w:hAnsi="宋体" w:eastAsia="宋体" w:cs="宋体"/>
                <w:b/>
                <w:szCs w:val="20"/>
              </w:rPr>
            </w:pPr>
            <w:r>
              <w:rPr>
                <w:rFonts w:hint="eastAsia" w:ascii="宋体" w:hAnsi="宋体" w:eastAsia="宋体" w:cs="宋体"/>
                <w:b/>
                <w:szCs w:val="20"/>
              </w:rPr>
              <w:t>教学方法</w:t>
            </w:r>
          </w:p>
        </w:tc>
        <w:tc>
          <w:tcPr>
            <w:tcW w:w="7173" w:type="dxa"/>
            <w:gridSpan w:val="2"/>
            <w:tcBorders>
              <w:top w:val="single" w:color="auto" w:sz="4" w:space="0"/>
              <w:left w:val="single" w:color="auto" w:sz="4" w:space="0"/>
              <w:bottom w:val="single" w:color="auto" w:sz="4" w:space="0"/>
              <w:right w:val="single" w:color="auto" w:sz="4" w:space="0"/>
            </w:tcBorders>
            <w:vAlign w:val="center"/>
          </w:tcPr>
          <w:p w14:paraId="3F56E0F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宋体" w:hAnsi="宋体" w:eastAsia="宋体" w:cs="宋体"/>
                <w:szCs w:val="20"/>
              </w:rPr>
            </w:pPr>
            <w:r>
              <w:rPr>
                <w:rFonts w:hint="eastAsia" w:ascii="宋体" w:hAnsi="宋体" w:eastAsia="宋体" w:cs="宋体"/>
                <w:szCs w:val="20"/>
              </w:rPr>
              <w:t>讲授法、问答法、讨论法</w:t>
            </w:r>
          </w:p>
        </w:tc>
      </w:tr>
      <w:tr w14:paraId="1512FF57">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05E4639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eastAsia" w:ascii="宋体" w:hAnsi="宋体" w:eastAsia="宋体" w:cs="宋体"/>
                <w:b/>
                <w:szCs w:val="20"/>
              </w:rPr>
            </w:pPr>
            <w:r>
              <w:rPr>
                <w:rFonts w:hint="eastAsia" w:ascii="宋体" w:hAnsi="宋体" w:eastAsia="宋体" w:cs="宋体"/>
                <w:b/>
                <w:szCs w:val="20"/>
              </w:rPr>
              <w:t>教学用具</w:t>
            </w:r>
          </w:p>
        </w:tc>
        <w:tc>
          <w:tcPr>
            <w:tcW w:w="7173" w:type="dxa"/>
            <w:gridSpan w:val="2"/>
            <w:tcBorders>
              <w:top w:val="single" w:color="auto" w:sz="4" w:space="0"/>
              <w:left w:val="single" w:color="auto" w:sz="4" w:space="0"/>
              <w:bottom w:val="single" w:color="auto" w:sz="4" w:space="0"/>
              <w:right w:val="single" w:color="auto" w:sz="4" w:space="0"/>
            </w:tcBorders>
            <w:vAlign w:val="center"/>
          </w:tcPr>
          <w:p w14:paraId="5B574CE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宋体" w:hAnsi="宋体" w:eastAsia="宋体" w:cs="宋体"/>
                <w:szCs w:val="20"/>
              </w:rPr>
            </w:pPr>
            <w:r>
              <w:rPr>
                <w:rFonts w:hint="eastAsia" w:ascii="宋体" w:hAnsi="宋体" w:eastAsia="宋体" w:cs="宋体"/>
                <w:szCs w:val="20"/>
              </w:rPr>
              <w:t>电脑、投影仪、多媒体课件、教材</w:t>
            </w:r>
          </w:p>
        </w:tc>
      </w:tr>
      <w:tr w14:paraId="711A5C4D">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7139E01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eastAsia" w:ascii="宋体" w:hAnsi="宋体" w:eastAsia="宋体" w:cs="宋体"/>
                <w:b/>
                <w:szCs w:val="20"/>
              </w:rPr>
            </w:pPr>
            <w:r>
              <w:rPr>
                <w:rFonts w:hint="eastAsia" w:ascii="宋体" w:hAnsi="宋体" w:eastAsia="宋体" w:cs="宋体"/>
                <w:b/>
                <w:szCs w:val="20"/>
              </w:rPr>
              <w:t>教学设计</w:t>
            </w:r>
          </w:p>
        </w:tc>
        <w:tc>
          <w:tcPr>
            <w:tcW w:w="7173" w:type="dxa"/>
            <w:gridSpan w:val="2"/>
            <w:tcBorders>
              <w:top w:val="single" w:color="auto" w:sz="4" w:space="0"/>
              <w:left w:val="single" w:color="auto" w:sz="4" w:space="0"/>
              <w:bottom w:val="single" w:color="auto" w:sz="4" w:space="0"/>
              <w:right w:val="single" w:color="auto" w:sz="4" w:space="0"/>
            </w:tcBorders>
            <w:vAlign w:val="center"/>
          </w:tcPr>
          <w:p w14:paraId="6DADD870">
            <w:pPr>
              <w:keepNext w:val="0"/>
              <w:keepLines w:val="0"/>
              <w:suppressLineNumbers w:val="0"/>
              <w:spacing w:before="0" w:beforeAutospacing="0" w:after="0" w:afterAutospacing="0" w:line="360" w:lineRule="auto"/>
              <w:ind w:left="0" w:right="0" w:hanging="8"/>
              <w:rPr>
                <w:rFonts w:hint="eastAsia" w:ascii="Times New Roman" w:hAnsi="宋体"/>
                <w:kern w:val="0"/>
                <w:szCs w:val="20"/>
              </w:rPr>
            </w:pPr>
            <w:r>
              <w:rPr>
                <w:rFonts w:hint="eastAsia" w:ascii="Times New Roman" w:hAnsi="宋体"/>
                <w:kern w:val="0"/>
                <w:szCs w:val="20"/>
              </w:rPr>
              <w:t>第1～</w:t>
            </w:r>
            <w:r>
              <w:rPr>
                <w:rFonts w:hint="eastAsia" w:ascii="Times New Roman" w:hAnsi="宋体"/>
                <w:kern w:val="0"/>
                <w:szCs w:val="20"/>
                <w:lang w:val="en-US" w:eastAsia="zh-CN"/>
              </w:rPr>
              <w:t>8</w:t>
            </w:r>
            <w:r>
              <w:rPr>
                <w:rFonts w:hint="eastAsia" w:ascii="Times New Roman" w:hAnsi="宋体"/>
                <w:kern w:val="0"/>
                <w:szCs w:val="20"/>
              </w:rPr>
              <w:t>节课</w:t>
            </w:r>
          </w:p>
          <w:p w14:paraId="42BC6148">
            <w:pPr>
              <w:keepNext w:val="0"/>
              <w:keepLines w:val="0"/>
              <w:suppressLineNumbers w:val="0"/>
              <w:spacing w:before="0" w:beforeAutospacing="0" w:after="0" w:afterAutospacing="0" w:line="360" w:lineRule="auto"/>
              <w:ind w:left="0" w:right="0" w:hanging="8"/>
              <w:rPr>
                <w:rFonts w:hint="eastAsia" w:ascii="Times New Roman" w:hAnsi="宋体"/>
                <w:kern w:val="0"/>
                <w:szCs w:val="20"/>
              </w:rPr>
            </w:pPr>
            <w:r>
              <w:rPr>
                <w:rFonts w:hint="eastAsia" w:ascii="Times New Roman" w:hAnsi="宋体"/>
                <w:kern w:val="0"/>
                <w:szCs w:val="20"/>
              </w:rPr>
              <w:t>·‌考勤‌（2分钟）</w:t>
            </w:r>
          </w:p>
          <w:p w14:paraId="71A3449B">
            <w:pPr>
              <w:keepNext w:val="0"/>
              <w:keepLines w:val="0"/>
              <w:suppressLineNumbers w:val="0"/>
              <w:spacing w:before="0" w:beforeAutospacing="0" w:after="0" w:afterAutospacing="0" w:line="360" w:lineRule="auto"/>
              <w:ind w:left="210" w:leftChars="100" w:right="0" w:firstLine="201" w:firstLineChars="96"/>
              <w:rPr>
                <w:rFonts w:hint="eastAsia" w:ascii="Times New Roman" w:hAnsi="宋体"/>
                <w:kern w:val="0"/>
                <w:szCs w:val="20"/>
              </w:rPr>
            </w:pPr>
            <w:r>
              <w:rPr>
                <w:rFonts w:hint="eastAsia" w:ascii="Times New Roman" w:hAnsi="宋体"/>
                <w:kern w:val="0"/>
                <w:szCs w:val="20"/>
              </w:rPr>
              <w:t>·清点人数，记录考勤。</w:t>
            </w:r>
          </w:p>
          <w:p w14:paraId="749013DB">
            <w:pPr>
              <w:keepNext w:val="0"/>
              <w:keepLines w:val="0"/>
              <w:suppressLineNumbers w:val="0"/>
              <w:spacing w:before="0" w:beforeAutospacing="0" w:after="0" w:afterAutospacing="0" w:line="360" w:lineRule="auto"/>
              <w:ind w:left="210" w:leftChars="100" w:right="0" w:firstLine="201" w:firstLineChars="96"/>
              <w:rPr>
                <w:rFonts w:hint="eastAsia" w:ascii="Times New Roman" w:hAnsi="宋体"/>
                <w:kern w:val="0"/>
                <w:szCs w:val="20"/>
              </w:rPr>
            </w:pPr>
            <w:r>
              <w:rPr>
                <w:rFonts w:hint="eastAsia" w:ascii="Times New Roman" w:hAnsi="宋体"/>
                <w:kern w:val="0"/>
                <w:szCs w:val="20"/>
              </w:rPr>
              <w:t>·设计意图：培养学生的组织纪律性。</w:t>
            </w:r>
          </w:p>
          <w:p w14:paraId="71D8E884">
            <w:pPr>
              <w:keepNext w:val="0"/>
              <w:keepLines w:val="0"/>
              <w:suppressLineNumbers w:val="0"/>
              <w:spacing w:before="0" w:beforeAutospacing="0" w:after="0" w:afterAutospacing="0" w:line="360" w:lineRule="auto"/>
              <w:ind w:left="0" w:right="0" w:hanging="8"/>
              <w:rPr>
                <w:rFonts w:hint="eastAsia" w:ascii="Times New Roman" w:hAnsi="宋体"/>
                <w:kern w:val="0"/>
                <w:szCs w:val="20"/>
              </w:rPr>
            </w:pPr>
            <w:r>
              <w:rPr>
                <w:rFonts w:hint="eastAsia" w:ascii="Times New Roman" w:hAnsi="宋体"/>
                <w:kern w:val="0"/>
                <w:szCs w:val="20"/>
              </w:rPr>
              <w:t>·‌知识讲解‌（每节40分钟</w:t>
            </w:r>
            <w:r>
              <w:rPr>
                <w:rFonts w:hint="eastAsia" w:ascii="Times New Roman" w:hAnsi="宋体"/>
                <w:kern w:val="0"/>
                <w:szCs w:val="20"/>
                <w:lang w:eastAsia="zh-CN"/>
              </w:rPr>
              <w:t>，</w:t>
            </w:r>
            <w:r>
              <w:rPr>
                <w:rFonts w:hint="eastAsia" w:ascii="Times New Roman" w:hAnsi="宋体"/>
                <w:kern w:val="0"/>
                <w:szCs w:val="20"/>
                <w:lang w:val="en-US" w:eastAsia="zh-CN"/>
              </w:rPr>
              <w:t>包含课堂互动</w:t>
            </w:r>
            <w:r>
              <w:rPr>
                <w:rFonts w:hint="eastAsia" w:ascii="Times New Roman" w:hAnsi="宋体"/>
                <w:kern w:val="0"/>
                <w:szCs w:val="20"/>
              </w:rPr>
              <w:t>）</w:t>
            </w:r>
          </w:p>
          <w:p w14:paraId="5E70E0E3">
            <w:pPr>
              <w:keepNext w:val="0"/>
              <w:keepLines w:val="0"/>
              <w:suppressLineNumbers w:val="0"/>
              <w:spacing w:before="0" w:beforeAutospacing="0" w:after="0" w:afterAutospacing="0" w:line="360" w:lineRule="auto"/>
              <w:ind w:left="210" w:leftChars="100" w:right="0" w:firstLine="201" w:firstLineChars="96"/>
              <w:rPr>
                <w:rFonts w:hint="default" w:ascii="Times New Roman" w:hAnsi="宋体"/>
                <w:szCs w:val="20"/>
              </w:rPr>
            </w:pPr>
            <w:r>
              <w:rPr>
                <w:rFonts w:hint="eastAsia" w:ascii="Times New Roman" w:hAnsi="宋体"/>
                <w:kern w:val="0"/>
                <w:szCs w:val="20"/>
              </w:rPr>
              <w:t>·</w:t>
            </w:r>
            <w:r>
              <w:rPr>
                <w:rFonts w:hint="default" w:ascii="Times New Roman" w:hAnsi="宋体"/>
                <w:szCs w:val="20"/>
              </w:rPr>
              <w:t>‌课堂互动‌（每节5分钟）</w:t>
            </w:r>
          </w:p>
          <w:p w14:paraId="496EDBC4">
            <w:pPr>
              <w:keepNext w:val="0"/>
              <w:keepLines w:val="0"/>
              <w:suppressLineNumbers w:val="0"/>
              <w:spacing w:before="0" w:beforeAutospacing="0" w:after="0" w:afterAutospacing="0" w:line="360" w:lineRule="auto"/>
              <w:ind w:left="210" w:leftChars="100" w:right="0" w:firstLine="411" w:firstLineChars="196"/>
              <w:rPr>
                <w:rFonts w:hint="default" w:ascii="Times New Roman" w:hAnsi="宋体"/>
                <w:szCs w:val="20"/>
              </w:rPr>
            </w:pPr>
            <w:r>
              <w:rPr>
                <w:rFonts w:hint="eastAsia" w:ascii="Times New Roman" w:hAnsi="宋体"/>
                <w:kern w:val="0"/>
                <w:szCs w:val="20"/>
              </w:rPr>
              <w:t>·</w:t>
            </w:r>
            <w:r>
              <w:rPr>
                <w:rFonts w:hint="default" w:ascii="Times New Roman" w:hAnsi="宋体"/>
                <w:szCs w:val="20"/>
              </w:rPr>
              <w:t>学生提问、讨论，教师解答。</w:t>
            </w:r>
          </w:p>
          <w:p w14:paraId="2C62F669">
            <w:pPr>
              <w:keepNext w:val="0"/>
              <w:keepLines w:val="0"/>
              <w:suppressLineNumbers w:val="0"/>
              <w:spacing w:before="0" w:beforeAutospacing="0" w:after="0" w:afterAutospacing="0" w:line="360" w:lineRule="auto"/>
              <w:ind w:left="210" w:leftChars="100" w:right="0" w:firstLine="411" w:firstLineChars="196"/>
              <w:rPr>
                <w:rFonts w:hint="default" w:ascii="Times New Roman" w:hAnsi="宋体"/>
                <w:szCs w:val="20"/>
              </w:rPr>
            </w:pPr>
            <w:r>
              <w:rPr>
                <w:rFonts w:hint="eastAsia" w:ascii="Times New Roman" w:hAnsi="宋体"/>
                <w:kern w:val="0"/>
                <w:szCs w:val="20"/>
              </w:rPr>
              <w:t>·</w:t>
            </w:r>
            <w:r>
              <w:rPr>
                <w:rFonts w:hint="default" w:ascii="Times New Roman" w:hAnsi="宋体"/>
                <w:szCs w:val="20"/>
              </w:rPr>
              <w:t>设计意图：增强学生的参与感和理解深度。</w:t>
            </w:r>
          </w:p>
          <w:p w14:paraId="2E7EEBF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宋体" w:hAnsi="宋体" w:eastAsia="宋体" w:cs="宋体"/>
                <w:szCs w:val="20"/>
              </w:rPr>
            </w:pPr>
            <w:r>
              <w:rPr>
                <w:rFonts w:hint="eastAsia" w:ascii="Times New Roman" w:hAnsi="宋体"/>
                <w:kern w:val="0"/>
                <w:szCs w:val="20"/>
              </w:rPr>
              <w:t>·</w:t>
            </w:r>
            <w:r>
              <w:rPr>
                <w:rFonts w:hint="default" w:ascii="Times New Roman" w:hAnsi="宋体"/>
                <w:szCs w:val="20"/>
              </w:rPr>
              <w:t>‌作业布置‌（每节3分钟）</w:t>
            </w:r>
          </w:p>
        </w:tc>
      </w:tr>
      <w:tr w14:paraId="371B13ED">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1F9179E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eastAsia" w:ascii="宋体" w:hAnsi="宋体" w:eastAsia="宋体" w:cs="宋体"/>
                <w:b/>
                <w:bCs w:val="0"/>
                <w:color w:val="C00000"/>
                <w:szCs w:val="24"/>
              </w:rPr>
            </w:pPr>
            <w:r>
              <w:rPr>
                <w:rFonts w:hint="eastAsia" w:ascii="宋体" w:hAnsi="宋体" w:eastAsia="宋体" w:cs="宋体"/>
                <w:b/>
                <w:bCs w:val="0"/>
                <w:color w:val="C00000"/>
                <w:szCs w:val="24"/>
              </w:rPr>
              <w:t>教学过程</w:t>
            </w:r>
          </w:p>
        </w:tc>
        <w:tc>
          <w:tcPr>
            <w:tcW w:w="5807" w:type="dxa"/>
            <w:tcBorders>
              <w:top w:val="single" w:color="auto" w:sz="4" w:space="0"/>
              <w:left w:val="single" w:color="auto" w:sz="4" w:space="0"/>
              <w:bottom w:val="single" w:color="auto" w:sz="4" w:space="0"/>
              <w:right w:val="single" w:color="auto" w:sz="4" w:space="0"/>
            </w:tcBorders>
            <w:vAlign w:val="center"/>
          </w:tcPr>
          <w:p w14:paraId="6F13D19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eastAsia" w:ascii="宋体" w:hAnsi="宋体" w:eastAsia="宋体" w:cs="宋体"/>
                <w:b/>
                <w:bCs w:val="0"/>
                <w:color w:val="C00000"/>
                <w:szCs w:val="20"/>
              </w:rPr>
            </w:pPr>
            <w:r>
              <w:rPr>
                <w:rFonts w:hint="eastAsia" w:ascii="宋体" w:hAnsi="宋体" w:eastAsia="宋体" w:cs="宋体"/>
                <w:b/>
                <w:bCs w:val="0"/>
                <w:color w:val="C00000"/>
                <w:szCs w:val="24"/>
              </w:rPr>
              <w:t>主 要 教 学 内 容 及 步 骤</w:t>
            </w:r>
          </w:p>
        </w:tc>
        <w:tc>
          <w:tcPr>
            <w:tcW w:w="1366" w:type="dxa"/>
            <w:tcBorders>
              <w:top w:val="single" w:color="auto" w:sz="4" w:space="0"/>
              <w:left w:val="single" w:color="auto" w:sz="4" w:space="0"/>
              <w:bottom w:val="single" w:color="auto" w:sz="4" w:space="0"/>
              <w:right w:val="single" w:color="auto" w:sz="4" w:space="0"/>
            </w:tcBorders>
            <w:vAlign w:val="center"/>
          </w:tcPr>
          <w:p w14:paraId="00A1CEE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eastAsia" w:ascii="宋体" w:hAnsi="宋体" w:eastAsia="宋体" w:cs="宋体"/>
                <w:b/>
                <w:bCs w:val="0"/>
                <w:color w:val="C00000"/>
                <w:szCs w:val="20"/>
              </w:rPr>
            </w:pPr>
            <w:r>
              <w:rPr>
                <w:rFonts w:hint="eastAsia" w:ascii="宋体" w:hAnsi="宋体" w:eastAsia="宋体" w:cs="宋体"/>
                <w:b/>
                <w:bCs w:val="0"/>
                <w:color w:val="C00000"/>
                <w:szCs w:val="20"/>
              </w:rPr>
              <w:t>设计意图</w:t>
            </w:r>
          </w:p>
        </w:tc>
      </w:tr>
      <w:tr w14:paraId="545D9C2F">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23A09D2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eastAsia" w:ascii="宋体" w:hAnsi="宋体" w:eastAsia="宋体" w:cs="宋体"/>
                <w:b/>
                <w:szCs w:val="24"/>
                <w:lang w:eastAsia="zh-CN"/>
              </w:rPr>
            </w:pPr>
            <w:r>
              <w:rPr>
                <w:rFonts w:hint="eastAsia" w:ascii="宋体" w:hAnsi="宋体" w:eastAsia="宋体" w:cs="宋体"/>
                <w:b/>
                <w:szCs w:val="24"/>
                <w:lang w:eastAsia="zh-CN"/>
              </w:rPr>
              <w:t>考勤</w:t>
            </w:r>
          </w:p>
          <w:p w14:paraId="5EA9DDE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eastAsia" w:ascii="宋体" w:hAnsi="宋体" w:eastAsia="宋体" w:cs="宋体"/>
                <w:b/>
                <w:szCs w:val="24"/>
                <w:lang w:eastAsia="zh-CN"/>
              </w:rPr>
            </w:pPr>
            <w:r>
              <w:rPr>
                <w:rFonts w:hint="eastAsia" w:ascii="宋体" w:hAnsi="宋体" w:eastAsia="宋体" w:cs="宋体"/>
                <w:b/>
                <w:szCs w:val="24"/>
                <w:lang w:eastAsia="zh-CN"/>
              </w:rPr>
              <w:t>（</w:t>
            </w:r>
            <w:r>
              <w:rPr>
                <w:rFonts w:hint="eastAsia" w:ascii="宋体" w:hAnsi="宋体" w:eastAsia="宋体" w:cs="宋体"/>
                <w:b/>
                <w:szCs w:val="24"/>
                <w:lang w:val="en-US" w:eastAsia="zh-CN"/>
              </w:rPr>
              <w:t>2min</w:t>
            </w:r>
            <w:r>
              <w:rPr>
                <w:rFonts w:hint="eastAsia" w:ascii="宋体" w:hAnsi="宋体" w:eastAsia="宋体" w:cs="宋体"/>
                <w:b/>
                <w:szCs w:val="24"/>
                <w:lang w:eastAsia="zh-CN"/>
              </w:rPr>
              <w:t>）</w:t>
            </w:r>
          </w:p>
        </w:tc>
        <w:tc>
          <w:tcPr>
            <w:tcW w:w="5807" w:type="dxa"/>
            <w:tcBorders>
              <w:top w:val="single" w:color="auto" w:sz="4" w:space="0"/>
              <w:left w:val="single" w:color="auto" w:sz="4" w:space="0"/>
              <w:bottom w:val="single" w:color="auto" w:sz="4" w:space="0"/>
              <w:right w:val="single" w:color="auto" w:sz="4" w:space="0"/>
            </w:tcBorders>
            <w:vAlign w:val="center"/>
          </w:tcPr>
          <w:p w14:paraId="30C5F53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right="0"/>
              <w:jc w:val="left"/>
              <w:textAlignment w:val="auto"/>
              <w:rPr>
                <w:rFonts w:hint="eastAsia" w:ascii="宋体" w:hAnsi="宋体" w:eastAsia="宋体" w:cs="宋体"/>
                <w:color w:val="C00000"/>
                <w:szCs w:val="24"/>
              </w:rPr>
            </w:pPr>
            <w:r>
              <w:rPr>
                <w:rFonts w:hint="eastAsia" w:ascii="宋体" w:hAnsi="宋体" w:eastAsia="宋体" w:cs="宋体"/>
                <w:color w:val="C00000"/>
                <w:szCs w:val="24"/>
              </w:rPr>
              <w:t>■</w:t>
            </w:r>
            <w:r>
              <w:rPr>
                <w:rFonts w:hint="eastAsia" w:ascii="宋体" w:hAnsi="宋体" w:eastAsia="宋体" w:cs="宋体"/>
                <w:color w:val="C00000"/>
                <w:szCs w:val="24"/>
                <w:lang w:eastAsia="zh-CN"/>
              </w:rPr>
              <w:t>【教师】</w:t>
            </w:r>
            <w:r>
              <w:rPr>
                <w:rFonts w:hint="eastAsia" w:ascii="宋体" w:hAnsi="宋体" w:eastAsia="宋体" w:cs="宋体"/>
                <w:color w:val="C00000"/>
                <w:szCs w:val="24"/>
              </w:rPr>
              <w:t>清点上课人数，记录好考勤</w:t>
            </w:r>
          </w:p>
          <w:p w14:paraId="34E6543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right="0"/>
              <w:jc w:val="left"/>
              <w:textAlignment w:val="auto"/>
              <w:rPr>
                <w:rFonts w:hint="eastAsia" w:ascii="宋体" w:hAnsi="宋体" w:eastAsia="宋体" w:cs="宋体"/>
                <w:szCs w:val="24"/>
              </w:rPr>
            </w:pPr>
            <w:r>
              <w:rPr>
                <w:rFonts w:hint="eastAsia" w:ascii="宋体" w:hAnsi="宋体" w:eastAsia="宋体" w:cs="宋体"/>
                <w:color w:val="548235" w:themeColor="accent6" w:themeShade="BF"/>
                <w:szCs w:val="24"/>
              </w:rPr>
              <w:t>■</w:t>
            </w:r>
            <w:r>
              <w:rPr>
                <w:rFonts w:hint="eastAsia" w:ascii="宋体" w:hAnsi="宋体" w:eastAsia="宋体" w:cs="宋体"/>
                <w:color w:val="548235" w:themeColor="accent6" w:themeShade="BF"/>
                <w:szCs w:val="24"/>
                <w:lang w:eastAsia="zh-CN"/>
              </w:rPr>
              <w:t>【学生】</w:t>
            </w:r>
            <w:r>
              <w:rPr>
                <w:rFonts w:hint="eastAsia" w:ascii="宋体" w:hAnsi="宋体" w:eastAsia="宋体" w:cs="宋体"/>
                <w:color w:val="548235" w:themeColor="accent6" w:themeShade="BF"/>
                <w:szCs w:val="24"/>
              </w:rPr>
              <w:t>班干部报请假人员及原因</w:t>
            </w:r>
          </w:p>
        </w:tc>
        <w:tc>
          <w:tcPr>
            <w:tcW w:w="1366" w:type="dxa"/>
            <w:tcBorders>
              <w:top w:val="single" w:color="auto" w:sz="4" w:space="0"/>
              <w:left w:val="single" w:color="auto" w:sz="4" w:space="0"/>
              <w:bottom w:val="single" w:color="auto" w:sz="4" w:space="0"/>
              <w:right w:val="single" w:color="auto" w:sz="4" w:space="0"/>
            </w:tcBorders>
            <w:vAlign w:val="center"/>
          </w:tcPr>
          <w:p w14:paraId="3DB54F9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eastAsia" w:ascii="宋体" w:hAnsi="宋体" w:eastAsia="宋体" w:cs="宋体"/>
                <w:szCs w:val="20"/>
              </w:rPr>
            </w:pPr>
            <w:r>
              <w:rPr>
                <w:rFonts w:hint="eastAsia" w:ascii="宋体" w:hAnsi="宋体" w:eastAsia="宋体" w:cs="宋体"/>
                <w:szCs w:val="20"/>
              </w:rPr>
              <w:t>培养学生的组织纪律性,掌握学生的出勤情况</w:t>
            </w:r>
          </w:p>
        </w:tc>
      </w:tr>
      <w:tr w14:paraId="046915A3">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9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3E49227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82" w:firstLineChars="200"/>
              <w:textAlignment w:val="auto"/>
              <w:rPr>
                <w:rFonts w:hint="eastAsia" w:ascii="宋体" w:hAnsi="宋体" w:eastAsia="宋体" w:cs="宋体"/>
                <w:b/>
                <w:sz w:val="24"/>
                <w:szCs w:val="24"/>
                <w:lang w:eastAsia="zh-CN"/>
              </w:rPr>
            </w:pPr>
          </w:p>
          <w:p w14:paraId="7007B98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82" w:firstLineChars="200"/>
              <w:textAlignment w:val="auto"/>
              <w:rPr>
                <w:rFonts w:hint="eastAsia" w:ascii="宋体" w:hAnsi="宋体" w:eastAsia="宋体" w:cs="宋体"/>
                <w:b/>
                <w:sz w:val="24"/>
                <w:szCs w:val="24"/>
                <w:lang w:eastAsia="zh-CN"/>
              </w:rPr>
            </w:pPr>
          </w:p>
          <w:p w14:paraId="783E061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82" w:firstLineChars="200"/>
              <w:textAlignment w:val="auto"/>
              <w:rPr>
                <w:rFonts w:hint="eastAsia" w:ascii="宋体" w:hAnsi="宋体" w:eastAsia="宋体" w:cs="宋体"/>
                <w:b/>
                <w:sz w:val="24"/>
                <w:szCs w:val="24"/>
                <w:lang w:eastAsia="zh-CN"/>
              </w:rPr>
            </w:pPr>
          </w:p>
          <w:p w14:paraId="1ADEB98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82" w:firstLineChars="200"/>
              <w:textAlignment w:val="auto"/>
              <w:rPr>
                <w:rFonts w:hint="eastAsia" w:ascii="宋体" w:hAnsi="宋体" w:eastAsia="宋体" w:cs="宋体"/>
                <w:b/>
                <w:sz w:val="24"/>
                <w:szCs w:val="24"/>
                <w:lang w:eastAsia="zh-CN"/>
              </w:rPr>
            </w:pPr>
            <w:r>
              <w:rPr>
                <w:rFonts w:hint="eastAsia" w:ascii="宋体" w:hAnsi="宋体" w:eastAsia="宋体" w:cs="宋体"/>
                <w:b/>
                <w:sz w:val="24"/>
                <w:szCs w:val="24"/>
                <w:lang w:eastAsia="zh-CN"/>
              </w:rPr>
              <w:t>知识讲解</w:t>
            </w:r>
          </w:p>
          <w:p w14:paraId="4AEC427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center"/>
              <w:textAlignment w:val="auto"/>
              <w:rPr>
                <w:rFonts w:hint="eastAsia" w:ascii="宋体" w:hAnsi="宋体" w:eastAsia="宋体" w:cs="宋体"/>
                <w:b/>
                <w:szCs w:val="24"/>
              </w:rPr>
            </w:pPr>
            <w:r>
              <w:rPr>
                <w:rFonts w:hint="eastAsia" w:ascii="宋体" w:hAnsi="宋体" w:eastAsia="宋体" w:cs="宋体"/>
                <w:szCs w:val="24"/>
              </w:rPr>
              <w:t>（</w:t>
            </w:r>
            <w:r>
              <w:rPr>
                <w:rFonts w:hint="eastAsia" w:ascii="宋体" w:hAnsi="宋体" w:eastAsia="宋体" w:cs="宋体"/>
                <w:szCs w:val="24"/>
                <w:lang w:val="en-US" w:eastAsia="zh-CN"/>
              </w:rPr>
              <w:t>40</w:t>
            </w:r>
            <w:r>
              <w:rPr>
                <w:rFonts w:hint="eastAsia" w:ascii="宋体" w:hAnsi="宋体" w:eastAsia="宋体" w:cs="宋体"/>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14:paraId="34C59D7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textAlignment w:val="auto"/>
              <w:rPr>
                <w:rFonts w:hint="eastAsia" w:ascii="宋体" w:hAnsi="宋体" w:eastAsia="宋体" w:cs="宋体"/>
                <w:b/>
                <w:color w:val="C00000"/>
                <w:lang w:val="en-US" w:eastAsia="zh-CN"/>
              </w:rPr>
            </w:pPr>
            <w:r>
              <w:rPr>
                <w:rFonts w:hint="eastAsia" w:ascii="宋体" w:hAnsi="宋体" w:eastAsia="宋体" w:cs="宋体"/>
                <w:b/>
                <w:color w:val="C00000"/>
              </w:rPr>
              <w:t>【教师】</w:t>
            </w:r>
            <w:r>
              <w:rPr>
                <w:rFonts w:hint="eastAsia" w:ascii="宋体" w:hAnsi="宋体" w:eastAsia="宋体" w:cs="宋体"/>
                <w:b w:val="0"/>
                <w:bCs/>
                <w:color w:val="C00000"/>
                <w:lang w:val="en-US" w:eastAsia="zh-CN"/>
              </w:rPr>
              <w:t>展示慢充系统故障诊断与修复（一）</w:t>
            </w:r>
          </w:p>
          <w:p w14:paraId="26F3B5B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一、知识准备</w:t>
            </w:r>
          </w:p>
          <w:p w14:paraId="70983EF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1. 慢充系统的组成、作用及工作原理（查阅“学习参考学习单元五　学习任务一”）。</w:t>
            </w:r>
          </w:p>
          <w:p w14:paraId="1EFDF55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2. 慢充系统的充电条件（查阅“学习参考学习单元五　学习任务一”）。</w:t>
            </w:r>
          </w:p>
          <w:p w14:paraId="709E5EF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3. 车载充电机的组成、作用及工作原理（查阅“学习参考学习单元五　学习任务一”）。</w:t>
            </w:r>
          </w:p>
          <w:p w14:paraId="108153E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4. 车载充电机故障诊断及排除方法（查阅“学习参考学习单元五　学习任务一”）。</w:t>
            </w:r>
          </w:p>
          <w:p w14:paraId="41929DA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5. 慢充系统故障诊断及排除方法（查阅“学习参考学习单元五　学习任务一”）。</w:t>
            </w:r>
          </w:p>
          <w:p w14:paraId="6BF2B7B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找出“任务描述”中的关键词，通过查阅“学习参考”和相关维修手册，对应整理出完成该任务所需要的知识点和技能点。</w:t>
            </w:r>
          </w:p>
          <w:p w14:paraId="58B50CC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
                <w:color w:val="000000" w:themeColor="text1"/>
                <w:lang w:eastAsia="zh-CN"/>
                <w14:textFill>
                  <w14:solidFill>
                    <w14:schemeClr w14:val="tx1"/>
                  </w14:solidFill>
                </w14:textFill>
              </w:rPr>
            </w:pPr>
            <w:r>
              <w:rPr>
                <w:rFonts w:hint="eastAsia" w:ascii="宋体" w:hAnsi="宋体" w:eastAsia="宋体" w:cs="宋体"/>
              </w:rPr>
              <w:drawing>
                <wp:inline distT="0" distB="0" distL="114300" distR="114300">
                  <wp:extent cx="2967990" cy="676910"/>
                  <wp:effectExtent l="0" t="0" r="3810" b="889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a:stretch>
                            <a:fillRect/>
                          </a:stretch>
                        </pic:blipFill>
                        <pic:spPr>
                          <a:xfrm>
                            <a:off x="0" y="0"/>
                            <a:ext cx="2967990" cy="676910"/>
                          </a:xfrm>
                          <a:prstGeom prst="rect">
                            <a:avLst/>
                          </a:prstGeom>
                          <a:noFill/>
                          <a:ln>
                            <a:noFill/>
                          </a:ln>
                        </pic:spPr>
                      </pic:pic>
                    </a:graphicData>
                  </a:graphic>
                </wp:inline>
              </w:drawing>
            </w:r>
            <w:r>
              <w:rPr>
                <w:rFonts w:hint="eastAsia" w:ascii="宋体" w:hAnsi="宋体" w:eastAsia="宋体" w:cs="宋体"/>
                <w:b/>
                <w:color w:val="000000" w:themeColor="text1"/>
                <w:lang w:eastAsia="zh-CN"/>
                <w14:textFill>
                  <w14:solidFill>
                    <w14:schemeClr w14:val="tx1"/>
                  </w14:solidFill>
                </w14:textFill>
              </w:rPr>
              <w:t xml:space="preserve"> </w:t>
            </w:r>
          </w:p>
          <w:p w14:paraId="6A88EAA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textAlignment w:val="auto"/>
              <w:rPr>
                <w:rFonts w:hint="eastAsia" w:ascii="宋体" w:hAnsi="宋体" w:eastAsia="宋体" w:cs="宋体"/>
                <w:b/>
                <w:bCs w:val="0"/>
                <w:color w:val="000000" w:themeColor="text1"/>
                <w:lang w:val="en-US" w:eastAsia="zh-CN"/>
                <w14:textFill>
                  <w14:solidFill>
                    <w14:schemeClr w14:val="tx1"/>
                  </w14:solidFill>
                </w14:textFill>
              </w:rPr>
            </w:pPr>
            <w:r>
              <w:rPr>
                <w:rFonts w:hint="eastAsia" w:ascii="宋体" w:hAnsi="宋体" w:eastAsia="宋体" w:cs="宋体"/>
                <w:b/>
                <w:bCs w:val="0"/>
                <w:color w:val="000000" w:themeColor="text1"/>
                <w:lang w:val="en-US" w:eastAsia="zh-CN"/>
                <w14:textFill>
                  <w14:solidFill>
                    <w14:schemeClr w14:val="tx1"/>
                  </w14:solidFill>
                </w14:textFill>
              </w:rPr>
              <w:t>二、工作场所</w:t>
            </w:r>
          </w:p>
          <w:p w14:paraId="08A34F9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 w:val="0"/>
                <w:bCs/>
                <w:color w:val="000000" w:themeColor="text1"/>
                <w:lang w:val="en-US" w:eastAsia="zh-CN"/>
                <w14:textFill>
                  <w14:solidFill>
                    <w14:schemeClr w14:val="tx1"/>
                  </w14:solidFill>
                </w14:textFill>
              </w:rPr>
            </w:pPr>
            <w:r>
              <w:rPr>
                <w:rFonts w:hint="eastAsia" w:ascii="宋体" w:hAnsi="宋体" w:eastAsia="宋体" w:cs="宋体"/>
                <w:b w:val="0"/>
                <w:bCs/>
                <w:color w:val="000000" w:themeColor="text1"/>
                <w:lang w:val="en-US" w:eastAsia="zh-CN"/>
                <w14:textFill>
                  <w14:solidFill>
                    <w14:schemeClr w14:val="tx1"/>
                  </w14:solidFill>
                </w14:textFill>
              </w:rPr>
              <w:t>理实一体化教室。</w:t>
            </w:r>
          </w:p>
          <w:p w14:paraId="2417799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textAlignment w:val="auto"/>
              <w:rPr>
                <w:rFonts w:hint="eastAsia" w:ascii="宋体" w:hAnsi="宋体" w:eastAsia="宋体" w:cs="宋体"/>
                <w:b w:val="0"/>
                <w:bCs/>
                <w:color w:val="000000" w:themeColor="text1"/>
                <w:lang w:val="en-US" w:eastAsia="zh-CN"/>
                <w14:textFill>
                  <w14:solidFill>
                    <w14:schemeClr w14:val="tx1"/>
                  </w14:solidFill>
                </w14:textFill>
              </w:rPr>
            </w:pPr>
            <w:r>
              <w:rPr>
                <w:rFonts w:hint="eastAsia" w:ascii="宋体" w:hAnsi="宋体" w:eastAsia="宋体" w:cs="宋体"/>
                <w:b/>
                <w:bCs w:val="0"/>
                <w:color w:val="000000" w:themeColor="text1"/>
                <w:lang w:val="en-US" w:eastAsia="zh-CN"/>
                <w14:textFill>
                  <w14:solidFill>
                    <w14:schemeClr w14:val="tx1"/>
                  </w14:solidFill>
                </w14:textFill>
              </w:rPr>
              <w:t>三、工作器材</w:t>
            </w:r>
          </w:p>
          <w:p w14:paraId="099A18E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 w:val="0"/>
                <w:bCs/>
                <w:color w:val="000000" w:themeColor="text1"/>
                <w:lang w:val="en-US" w:eastAsia="zh-CN"/>
                <w14:textFill>
                  <w14:solidFill>
                    <w14:schemeClr w14:val="tx1"/>
                  </w14:solidFill>
                </w14:textFill>
              </w:rPr>
            </w:pPr>
            <w:r>
              <w:rPr>
                <w:rFonts w:hint="eastAsia" w:ascii="宋体" w:hAnsi="宋体" w:eastAsia="宋体" w:cs="宋体"/>
                <w:b w:val="0"/>
                <w:bCs/>
                <w:color w:val="000000" w:themeColor="text1"/>
                <w:lang w:val="en-US" w:eastAsia="zh-CN"/>
                <w14:textFill>
                  <w14:solidFill>
                    <w14:schemeClr w14:val="tx1"/>
                  </w14:solidFill>
                </w14:textFill>
              </w:rPr>
              <w:t>吉利 EV450 车辆、交流充电枪、故障诊断仪器、工量具套装、维修工具套装、检测工具套装（包括万用表、绝缘测试仪、电池内阻测试仪、专用示波器、毫欧表、万用接线盒等）、工位安全保护套装（包括警示牌、隔离带套装、绝缘防护垫等）、人员安全防护套装（绝缘手套、耐磨手套、绝缘鞋、护目镜、安全帽等）等。</w:t>
            </w:r>
          </w:p>
          <w:p w14:paraId="3030821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textAlignment w:val="auto"/>
              <w:rPr>
                <w:rFonts w:hint="eastAsia" w:ascii="宋体" w:hAnsi="宋体" w:eastAsia="宋体" w:cs="宋体"/>
                <w:b/>
                <w:bCs w:val="0"/>
                <w:color w:val="000000" w:themeColor="text1"/>
                <w:lang w:val="en-US" w:eastAsia="zh-CN"/>
                <w14:textFill>
                  <w14:solidFill>
                    <w14:schemeClr w14:val="tx1"/>
                  </w14:solidFill>
                </w14:textFill>
              </w:rPr>
            </w:pPr>
            <w:r>
              <w:rPr>
                <w:rFonts w:hint="eastAsia" w:ascii="宋体" w:hAnsi="宋体" w:eastAsia="宋体" w:cs="宋体"/>
                <w:b/>
                <w:bCs w:val="0"/>
                <w:color w:val="000000" w:themeColor="text1"/>
                <w:lang w:val="en-US" w:eastAsia="zh-CN"/>
                <w14:textFill>
                  <w14:solidFill>
                    <w14:schemeClr w14:val="tx1"/>
                  </w14:solidFill>
                </w14:textFill>
              </w:rPr>
              <w:t xml:space="preserve"> 计划与实施</w:t>
            </w:r>
          </w:p>
          <w:p w14:paraId="0E851B8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 w:val="0"/>
                <w:bCs/>
                <w:color w:val="000000" w:themeColor="text1"/>
                <w:lang w:val="en-US" w:eastAsia="zh-CN"/>
                <w14:textFill>
                  <w14:solidFill>
                    <w14:schemeClr w14:val="tx1"/>
                  </w14:solidFill>
                </w14:textFill>
              </w:rPr>
            </w:pPr>
            <w:r>
              <w:rPr>
                <w:rFonts w:hint="eastAsia" w:ascii="宋体" w:hAnsi="宋体" w:eastAsia="宋体" w:cs="宋体"/>
                <w:b w:val="0"/>
                <w:bCs/>
                <w:color w:val="000000" w:themeColor="text1"/>
                <w:lang w:val="en-US" w:eastAsia="zh-CN"/>
                <w14:textFill>
                  <w14:solidFill>
                    <w14:schemeClr w14:val="tx1"/>
                  </w14:solidFill>
                </w14:textFill>
              </w:rPr>
              <w:t>一、现场感受任务描述中的故障现象。</w:t>
            </w:r>
          </w:p>
          <w:p w14:paraId="4C640FC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 w:val="0"/>
                <w:bCs/>
                <w:color w:val="000000" w:themeColor="text1"/>
                <w:lang w:val="en-US" w:eastAsia="zh-CN"/>
                <w14:textFill>
                  <w14:solidFill>
                    <w14:schemeClr w14:val="tx1"/>
                  </w14:solidFill>
                </w14:textFill>
              </w:rPr>
            </w:pPr>
            <w:r>
              <w:rPr>
                <w:rFonts w:hint="eastAsia" w:ascii="宋体" w:hAnsi="宋体" w:eastAsia="宋体" w:cs="宋体"/>
                <w:b w:val="0"/>
                <w:bCs/>
                <w:color w:val="000000" w:themeColor="text1"/>
                <w:lang w:val="en-US" w:eastAsia="zh-CN"/>
                <w14:textFill>
                  <w14:solidFill>
                    <w14:schemeClr w14:val="tx1"/>
                  </w14:solidFill>
                </w14:textFill>
              </w:rPr>
              <w:t>现场体验的故障现象是：</w:t>
            </w:r>
          </w:p>
          <w:p w14:paraId="67E79DA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 w:val="0"/>
                <w:bCs/>
                <w:color w:val="000000" w:themeColor="text1"/>
                <w:lang w:val="en-US" w:eastAsia="zh-CN"/>
                <w14:textFill>
                  <w14:solidFill>
                    <w14:schemeClr w14:val="tx1"/>
                  </w14:solidFill>
                </w14:textFill>
              </w:rPr>
            </w:pPr>
            <w:r>
              <w:rPr>
                <w:rFonts w:hint="eastAsia" w:ascii="宋体" w:hAnsi="宋体" w:eastAsia="宋体" w:cs="宋体"/>
                <w:b w:val="0"/>
                <w:bCs/>
                <w:color w:val="000000" w:themeColor="text1"/>
                <w:lang w:val="en-US" w:eastAsia="zh-CN"/>
                <w14:textFill>
                  <w14:solidFill>
                    <w14:schemeClr w14:val="tx1"/>
                  </w14:solidFill>
                </w14:textFill>
              </w:rPr>
              <w:t>二、在教师的引导下分组，以小组为单位学习相关知识，并回答下列问题。</w:t>
            </w:r>
          </w:p>
          <w:p w14:paraId="42DC780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 w:val="0"/>
                <w:bCs/>
                <w:color w:val="000000" w:themeColor="text1"/>
                <w:lang w:val="en-US" w:eastAsia="zh-CN"/>
                <w14:textFill>
                  <w14:solidFill>
                    <w14:schemeClr w14:val="tx1"/>
                  </w14:solidFill>
                </w14:textFill>
              </w:rPr>
            </w:pPr>
            <w:r>
              <w:rPr>
                <w:rFonts w:hint="eastAsia" w:ascii="宋体" w:hAnsi="宋体" w:eastAsia="宋体" w:cs="宋体"/>
                <w:b w:val="0"/>
                <w:bCs/>
                <w:color w:val="000000" w:themeColor="text1"/>
                <w:lang w:val="en-US" w:eastAsia="zh-CN"/>
                <w14:textFill>
                  <w14:solidFill>
                    <w14:schemeClr w14:val="tx1"/>
                  </w14:solidFill>
                </w14:textFill>
              </w:rPr>
              <w:t>1. 慢充充电的方式有哪些？</w:t>
            </w:r>
          </w:p>
          <w:p w14:paraId="1D812DA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 w:val="0"/>
                <w:bCs/>
                <w:color w:val="000000" w:themeColor="text1"/>
                <w:lang w:val="en-US" w:eastAsia="zh-CN"/>
                <w14:textFill>
                  <w14:solidFill>
                    <w14:schemeClr w14:val="tx1"/>
                  </w14:solidFill>
                </w14:textFill>
              </w:rPr>
            </w:pPr>
            <w:r>
              <w:rPr>
                <w:rFonts w:hint="eastAsia" w:ascii="宋体" w:hAnsi="宋体" w:eastAsia="宋体" w:cs="宋体"/>
                <w:b w:val="0"/>
                <w:bCs/>
                <w:color w:val="000000" w:themeColor="text1"/>
                <w:lang w:val="en-US" w:eastAsia="zh-CN"/>
                <w14:textFill>
                  <w14:solidFill>
                    <w14:schemeClr w14:val="tx1"/>
                  </w14:solidFill>
                </w14:textFill>
              </w:rPr>
              <w:t>2. 慢充系统充电流程是什么？并画出慢充系统充电流程图。</w:t>
            </w:r>
          </w:p>
          <w:p w14:paraId="2AB6266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 w:val="0"/>
                <w:bCs/>
                <w:color w:val="000000" w:themeColor="text1"/>
                <w:lang w:val="en-US" w:eastAsia="zh-CN"/>
                <w14:textFill>
                  <w14:solidFill>
                    <w14:schemeClr w14:val="tx1"/>
                  </w14:solidFill>
                </w14:textFill>
              </w:rPr>
            </w:pPr>
            <w:r>
              <w:rPr>
                <w:rFonts w:hint="eastAsia" w:ascii="宋体" w:hAnsi="宋体" w:eastAsia="宋体" w:cs="宋体"/>
                <w:b w:val="0"/>
                <w:bCs/>
                <w:color w:val="000000" w:themeColor="text1"/>
                <w:lang w:val="en-US" w:eastAsia="zh-CN"/>
                <w14:textFill>
                  <w14:solidFill>
                    <w14:schemeClr w14:val="tx1"/>
                  </w14:solidFill>
                </w14:textFill>
              </w:rPr>
              <w:t>3. 写出慢充接口各端子的含义。</w:t>
            </w:r>
          </w:p>
          <w:p w14:paraId="5234869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 w:val="0"/>
                <w:bCs/>
                <w:color w:val="000000" w:themeColor="text1"/>
                <w:lang w:val="en-US" w:eastAsia="zh-CN"/>
                <w14:textFill>
                  <w14:solidFill>
                    <w14:schemeClr w14:val="tx1"/>
                  </w14:solidFill>
                </w14:textFill>
              </w:rPr>
            </w:pPr>
            <w:r>
              <w:rPr>
                <w:rFonts w:hint="eastAsia" w:ascii="宋体" w:hAnsi="宋体" w:eastAsia="宋体" w:cs="宋体"/>
                <w:b w:val="0"/>
                <w:bCs/>
                <w:color w:val="000000" w:themeColor="text1"/>
                <w:lang w:val="en-US" w:eastAsia="zh-CN"/>
                <w14:textFill>
                  <w14:solidFill>
                    <w14:schemeClr w14:val="tx1"/>
                  </w14:solidFill>
                </w14:textFill>
              </w:rPr>
              <w:t>三、在教师的引导下，以小组为单位学习相关技能，并填写下面表格。</w:t>
            </w:r>
          </w:p>
          <w:p w14:paraId="6356DF5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 w:val="0"/>
                <w:bCs/>
                <w:color w:val="000000" w:themeColor="text1"/>
                <w:lang w:val="en-US" w:eastAsia="zh-CN"/>
                <w14:textFill>
                  <w14:solidFill>
                    <w14:schemeClr w14:val="tx1"/>
                  </w14:solidFill>
                </w14:textFill>
              </w:rPr>
            </w:pPr>
            <w:r>
              <w:rPr>
                <w:rFonts w:hint="eastAsia" w:ascii="宋体" w:hAnsi="宋体" w:eastAsia="宋体" w:cs="宋体"/>
                <w:b w:val="0"/>
                <w:bCs/>
                <w:color w:val="000000" w:themeColor="text1"/>
                <w:lang w:val="en-US" w:eastAsia="zh-CN"/>
                <w14:textFill>
                  <w14:solidFill>
                    <w14:schemeClr w14:val="tx1"/>
                  </w14:solidFill>
                </w14:textFill>
              </w:rPr>
              <w:t>1. 工具准备</w:t>
            </w:r>
          </w:p>
          <w:p w14:paraId="08D33EA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 w:val="0"/>
                <w:bCs/>
                <w:color w:val="000000" w:themeColor="text1"/>
                <w:lang w:val="en-US" w:eastAsia="zh-CN"/>
                <w14:textFill>
                  <w14:solidFill>
                    <w14:schemeClr w14:val="tx1"/>
                  </w14:solidFill>
                </w14:textFill>
              </w:rPr>
            </w:pPr>
            <w:r>
              <w:rPr>
                <w:rFonts w:hint="eastAsia" w:ascii="宋体" w:hAnsi="宋体" w:eastAsia="宋体" w:cs="宋体"/>
              </w:rPr>
              <w:drawing>
                <wp:inline distT="0" distB="0" distL="114300" distR="114300">
                  <wp:extent cx="3058795" cy="969010"/>
                  <wp:effectExtent l="0" t="0" r="14605" b="2159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5"/>
                          <a:stretch>
                            <a:fillRect/>
                          </a:stretch>
                        </pic:blipFill>
                        <pic:spPr>
                          <a:xfrm>
                            <a:off x="0" y="0"/>
                            <a:ext cx="3058795" cy="969010"/>
                          </a:xfrm>
                          <a:prstGeom prst="rect">
                            <a:avLst/>
                          </a:prstGeom>
                          <a:noFill/>
                          <a:ln>
                            <a:noFill/>
                          </a:ln>
                        </pic:spPr>
                      </pic:pic>
                    </a:graphicData>
                  </a:graphic>
                </wp:inline>
              </w:drawing>
            </w:r>
          </w:p>
          <w:p w14:paraId="382F875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 w:val="0"/>
                <w:bCs/>
                <w:color w:val="000000" w:themeColor="text1"/>
                <w:lang w:val="en-US" w:eastAsia="zh-CN"/>
                <w14:textFill>
                  <w14:solidFill>
                    <w14:schemeClr w14:val="tx1"/>
                  </w14:solidFill>
                </w14:textFill>
              </w:rPr>
            </w:pPr>
            <w:r>
              <w:rPr>
                <w:rFonts w:hint="eastAsia" w:ascii="宋体" w:hAnsi="宋体" w:eastAsia="宋体" w:cs="宋体"/>
                <w:b w:val="0"/>
                <w:bCs/>
                <w:color w:val="000000" w:themeColor="text1"/>
                <w:lang w:val="en-US" w:eastAsia="zh-CN"/>
                <w14:textFill>
                  <w14:solidFill>
                    <w14:schemeClr w14:val="tx1"/>
                  </w14:solidFill>
                </w14:textFill>
              </w:rPr>
              <w:t>2. 试车</w:t>
            </w:r>
          </w:p>
          <w:p w14:paraId="6A58458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 w:val="0"/>
                <w:bCs/>
                <w:color w:val="000000" w:themeColor="text1"/>
                <w:lang w:val="en-US" w:eastAsia="zh-CN"/>
                <w14:textFill>
                  <w14:solidFill>
                    <w14:schemeClr w14:val="tx1"/>
                  </w14:solidFill>
                </w14:textFill>
              </w:rPr>
            </w:pPr>
            <w:r>
              <w:rPr>
                <w:rFonts w:hint="eastAsia" w:ascii="宋体" w:hAnsi="宋体" w:eastAsia="宋体" w:cs="宋体"/>
                <w:b w:val="0"/>
                <w:bCs/>
                <w:color w:val="000000" w:themeColor="text1"/>
                <w:lang w:val="en-US" w:eastAsia="zh-CN"/>
                <w14:textFill>
                  <w14:solidFill>
                    <w14:schemeClr w14:val="tx1"/>
                  </w14:solidFill>
                </w14:textFill>
              </w:rPr>
              <w:t>进行试车，故障现象与客户描述是否一致 。</w:t>
            </w:r>
          </w:p>
          <w:p w14:paraId="4CB7894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 w:val="0"/>
                <w:bCs/>
                <w:color w:val="000000" w:themeColor="text1"/>
                <w:lang w:val="en-US" w:eastAsia="zh-CN"/>
                <w14:textFill>
                  <w14:solidFill>
                    <w14:schemeClr w14:val="tx1"/>
                  </w14:solidFill>
                </w14:textFill>
              </w:rPr>
            </w:pPr>
            <w:r>
              <w:rPr>
                <w:rFonts w:hint="eastAsia" w:ascii="宋体" w:hAnsi="宋体" w:eastAsia="宋体" w:cs="宋体"/>
                <w:b w:val="0"/>
                <w:bCs/>
                <w:color w:val="000000" w:themeColor="text1"/>
                <w:lang w:val="en-US" w:eastAsia="zh-CN"/>
                <w14:textFill>
                  <w14:solidFill>
                    <w14:schemeClr w14:val="tx1"/>
                  </w14:solidFill>
                </w14:textFill>
              </w:rPr>
              <w:t>初步分析 ，导致车辆无法行驶。</w:t>
            </w:r>
          </w:p>
          <w:p w14:paraId="76CA724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 w:val="0"/>
                <w:bCs/>
                <w:color w:val="000000" w:themeColor="text1"/>
                <w:lang w:val="en-US" w:eastAsia="zh-CN"/>
                <w14:textFill>
                  <w14:solidFill>
                    <w14:schemeClr w14:val="tx1"/>
                  </w14:solidFill>
                </w14:textFill>
              </w:rPr>
            </w:pPr>
            <w:r>
              <w:rPr>
                <w:rFonts w:hint="eastAsia" w:ascii="宋体" w:hAnsi="宋体" w:eastAsia="宋体" w:cs="宋体"/>
                <w:b w:val="0"/>
                <w:bCs/>
                <w:color w:val="000000" w:themeColor="text1"/>
                <w:lang w:val="en-US" w:eastAsia="zh-CN"/>
                <w14:textFill>
                  <w14:solidFill>
                    <w14:schemeClr w14:val="tx1"/>
                  </w14:solidFill>
                </w14:textFill>
              </w:rPr>
              <w:t>3. 车辆基本检查</w:t>
            </w:r>
          </w:p>
          <w:p w14:paraId="2BE11B1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 w:val="0"/>
                <w:bCs/>
                <w:color w:val="000000" w:themeColor="text1"/>
                <w:lang w:val="en-US" w:eastAsia="zh-CN"/>
                <w14:textFill>
                  <w14:solidFill>
                    <w14:schemeClr w14:val="tx1"/>
                  </w14:solidFill>
                </w14:textFill>
              </w:rPr>
            </w:pPr>
            <w:r>
              <w:rPr>
                <w:rFonts w:hint="eastAsia" w:ascii="宋体" w:hAnsi="宋体" w:eastAsia="宋体" w:cs="宋体"/>
                <w:b w:val="0"/>
                <w:bCs/>
                <w:color w:val="000000" w:themeColor="text1"/>
                <w:lang w:val="en-US" w:eastAsia="zh-CN"/>
                <w14:textFill>
                  <w14:solidFill>
                    <w14:schemeClr w14:val="tx1"/>
                  </w14:solidFill>
                </w14:textFill>
              </w:rPr>
              <w:t>关闭启动开关，拆下低压蓄电池负极，打开前机舱盖，穿戴好个人防护用具，检查控制单元及线束插头，有无松动、损坏等现象。</w:t>
            </w:r>
          </w:p>
          <w:p w14:paraId="379DD3A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 w:val="0"/>
                <w:bCs/>
                <w:color w:val="000000" w:themeColor="text1"/>
                <w:lang w:val="en-US" w:eastAsia="zh-CN"/>
                <w14:textFill>
                  <w14:solidFill>
                    <w14:schemeClr w14:val="tx1"/>
                  </w14:solidFill>
                </w14:textFill>
              </w:rPr>
            </w:pPr>
            <w:r>
              <w:rPr>
                <w:rFonts w:hint="eastAsia" w:ascii="宋体" w:hAnsi="宋体" w:eastAsia="宋体" w:cs="宋体"/>
                <w:b w:val="0"/>
                <w:bCs/>
                <w:color w:val="000000" w:themeColor="text1"/>
                <w:lang w:val="en-US" w:eastAsia="zh-CN"/>
                <w14:textFill>
                  <w14:solidFill>
                    <w14:schemeClr w14:val="tx1"/>
                  </w14:solidFill>
                </w14:textFill>
              </w:rPr>
              <w:t xml:space="preserve">经检查： </w:t>
            </w:r>
          </w:p>
          <w:p w14:paraId="3F0170C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 w:val="0"/>
                <w:bCs/>
                <w:color w:val="000000" w:themeColor="text1"/>
                <w:lang w:val="en-US" w:eastAsia="zh-CN"/>
                <w14:textFill>
                  <w14:solidFill>
                    <w14:schemeClr w14:val="tx1"/>
                  </w14:solidFill>
                </w14:textFill>
              </w:rPr>
            </w:pPr>
            <w:r>
              <w:rPr>
                <w:rFonts w:hint="eastAsia" w:ascii="宋体" w:hAnsi="宋体" w:eastAsia="宋体" w:cs="宋体"/>
                <w:b w:val="0"/>
                <w:bCs/>
                <w:color w:val="000000" w:themeColor="text1"/>
                <w:lang w:val="en-US" w:eastAsia="zh-CN"/>
                <w14:textFill>
                  <w14:solidFill>
                    <w14:schemeClr w14:val="tx1"/>
                  </w14:solidFill>
                </w14:textFill>
              </w:rPr>
              <w:t>4. 车辆功能检查</w:t>
            </w:r>
          </w:p>
          <w:p w14:paraId="4EB3485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 w:val="0"/>
                <w:bCs/>
                <w:color w:val="000000" w:themeColor="text1"/>
                <w:lang w:val="en-US" w:eastAsia="zh-CN"/>
                <w14:textFill>
                  <w14:solidFill>
                    <w14:schemeClr w14:val="tx1"/>
                  </w14:solidFill>
                </w14:textFill>
              </w:rPr>
            </w:pPr>
            <w:r>
              <w:rPr>
                <w:rFonts w:hint="eastAsia" w:ascii="宋体" w:hAnsi="宋体" w:eastAsia="宋体" w:cs="宋体"/>
                <w:b w:val="0"/>
                <w:bCs/>
                <w:color w:val="000000" w:themeColor="text1"/>
                <w:lang w:val="en-US" w:eastAsia="zh-CN"/>
                <w14:textFill>
                  <w14:solidFill>
                    <w14:schemeClr w14:val="tx1"/>
                  </w14:solidFill>
                </w14:textFill>
              </w:rPr>
              <w:t xml:space="preserve">空调系统工作是否正常： </w:t>
            </w:r>
          </w:p>
          <w:p w14:paraId="1FB6302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 w:val="0"/>
                <w:bCs/>
                <w:color w:val="000000" w:themeColor="text1"/>
                <w:lang w:val="en-US" w:eastAsia="zh-CN"/>
                <w14:textFill>
                  <w14:solidFill>
                    <w14:schemeClr w14:val="tx1"/>
                  </w14:solidFill>
                </w14:textFill>
              </w:rPr>
            </w:pPr>
            <w:r>
              <w:rPr>
                <w:rFonts w:hint="eastAsia" w:ascii="宋体" w:hAnsi="宋体" w:eastAsia="宋体" w:cs="宋体"/>
                <w:b w:val="0"/>
                <w:bCs/>
                <w:color w:val="000000" w:themeColor="text1"/>
                <w:lang w:val="en-US" w:eastAsia="zh-CN"/>
                <w14:textFill>
                  <w14:solidFill>
                    <w14:schemeClr w14:val="tx1"/>
                  </w14:solidFill>
                </w14:textFill>
              </w:rPr>
              <w:t xml:space="preserve">电动真空泵工作是否正常： </w:t>
            </w:r>
          </w:p>
          <w:p w14:paraId="056EB50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 w:val="0"/>
                <w:bCs/>
                <w:color w:val="000000" w:themeColor="text1"/>
                <w:lang w:val="en-US" w:eastAsia="zh-CN"/>
                <w14:textFill>
                  <w14:solidFill>
                    <w14:schemeClr w14:val="tx1"/>
                  </w14:solidFill>
                </w14:textFill>
              </w:rPr>
            </w:pPr>
            <w:r>
              <w:rPr>
                <w:rFonts w:hint="eastAsia" w:ascii="宋体" w:hAnsi="宋体" w:eastAsia="宋体" w:cs="宋体"/>
                <w:b w:val="0"/>
                <w:bCs/>
                <w:color w:val="000000" w:themeColor="text1"/>
                <w:lang w:val="en-US" w:eastAsia="zh-CN"/>
                <w14:textFill>
                  <w14:solidFill>
                    <w14:schemeClr w14:val="tx1"/>
                  </w14:solidFill>
                </w14:textFill>
              </w:rPr>
              <w:t xml:space="preserve">连接充电枪，观察仪表盘显示情况： </w:t>
            </w:r>
          </w:p>
          <w:p w14:paraId="6D2C416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 w:val="0"/>
                <w:bCs/>
                <w:color w:val="000000" w:themeColor="text1"/>
                <w:lang w:val="en-US" w:eastAsia="zh-CN"/>
                <w14:textFill>
                  <w14:solidFill>
                    <w14:schemeClr w14:val="tx1"/>
                  </w14:solidFill>
                </w14:textFill>
              </w:rPr>
            </w:pPr>
            <w:r>
              <w:rPr>
                <w:rFonts w:hint="eastAsia" w:ascii="宋体" w:hAnsi="宋体" w:eastAsia="宋体" w:cs="宋体"/>
                <w:b w:val="0"/>
                <w:bCs/>
                <w:color w:val="000000" w:themeColor="text1"/>
                <w:lang w:val="en-US" w:eastAsia="zh-CN"/>
                <w14:textFill>
                  <w14:solidFill>
                    <w14:schemeClr w14:val="tx1"/>
                  </w14:solidFill>
                </w14:textFill>
              </w:rPr>
              <w:t xml:space="preserve">交流充电枪运行灯点亮情况： </w:t>
            </w:r>
          </w:p>
          <w:p w14:paraId="5C301F0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 w:val="0"/>
                <w:bCs/>
                <w:color w:val="000000" w:themeColor="text1"/>
                <w:lang w:val="en-US" w:eastAsia="zh-CN"/>
                <w14:textFill>
                  <w14:solidFill>
                    <w14:schemeClr w14:val="tx1"/>
                  </w14:solidFill>
                </w14:textFill>
              </w:rPr>
            </w:pPr>
            <w:r>
              <w:rPr>
                <w:rFonts w:hint="eastAsia" w:ascii="宋体" w:hAnsi="宋体" w:eastAsia="宋体" w:cs="宋体"/>
                <w:b w:val="0"/>
                <w:bCs/>
                <w:color w:val="000000" w:themeColor="text1"/>
                <w:lang w:val="en-US" w:eastAsia="zh-CN"/>
                <w14:textFill>
                  <w14:solidFill>
                    <w14:schemeClr w14:val="tx1"/>
                  </w14:solidFill>
                </w14:textFill>
              </w:rPr>
              <w:t>能否正常充电： 工具使用规范</w:t>
            </w:r>
          </w:p>
          <w:p w14:paraId="375A074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 w:val="0"/>
                <w:bCs/>
                <w:color w:val="000000" w:themeColor="text1"/>
                <w:lang w:val="en-US" w:eastAsia="zh-CN"/>
                <w14:textFill>
                  <w14:solidFill>
                    <w14:schemeClr w14:val="tx1"/>
                  </w14:solidFill>
                </w14:textFill>
              </w:rPr>
            </w:pPr>
            <w:r>
              <w:rPr>
                <w:rFonts w:hint="eastAsia" w:ascii="宋体" w:hAnsi="宋体" w:eastAsia="宋体" w:cs="宋体"/>
                <w:b w:val="0"/>
                <w:bCs/>
                <w:color w:val="000000" w:themeColor="text1"/>
                <w:lang w:val="en-US" w:eastAsia="zh-CN"/>
                <w14:textFill>
                  <w14:solidFill>
                    <w14:schemeClr w14:val="tx1"/>
                  </w14:solidFill>
                </w14:textFill>
              </w:rPr>
              <w:t xml:space="preserve">新能源汽车维护与故障诊断　　　 　　 </w:t>
            </w:r>
          </w:p>
          <w:p w14:paraId="3B0290F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 w:val="0"/>
                <w:bCs/>
                <w:color w:val="000000" w:themeColor="text1"/>
                <w:lang w:val="en-US" w:eastAsia="zh-CN"/>
                <w14:textFill>
                  <w14:solidFill>
                    <w14:schemeClr w14:val="tx1"/>
                  </w14:solidFill>
                </w14:textFill>
              </w:rPr>
            </w:pPr>
            <w:r>
              <w:rPr>
                <w:rFonts w:hint="eastAsia" w:ascii="宋体" w:hAnsi="宋体" w:eastAsia="宋体" w:cs="宋体"/>
                <w:b w:val="0"/>
                <w:bCs/>
                <w:color w:val="000000" w:themeColor="text1"/>
                <w:lang w:val="en-US" w:eastAsia="zh-CN"/>
                <w14:textFill>
                  <w14:solidFill>
                    <w14:schemeClr w14:val="tx1"/>
                  </w14:solidFill>
                </w14:textFill>
              </w:rPr>
              <w:t>5. 故障诊断仪读取故障码</w:t>
            </w:r>
          </w:p>
          <w:p w14:paraId="473793D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 w:val="0"/>
                <w:bCs/>
                <w:color w:val="000000" w:themeColor="text1"/>
                <w:lang w:val="en-US" w:eastAsia="zh-CN"/>
                <w14:textFill>
                  <w14:solidFill>
                    <w14:schemeClr w14:val="tx1"/>
                  </w14:solidFill>
                </w14:textFill>
              </w:rPr>
            </w:pPr>
            <w:r>
              <w:rPr>
                <w:rFonts w:hint="eastAsia" w:ascii="宋体" w:hAnsi="宋体" w:eastAsia="宋体" w:cs="宋体"/>
                <w:b w:val="0"/>
                <w:bCs/>
                <w:color w:val="000000" w:themeColor="text1"/>
                <w:lang w:val="en-US" w:eastAsia="zh-CN"/>
                <w14:textFill>
                  <w14:solidFill>
                    <w14:schemeClr w14:val="tx1"/>
                  </w14:solidFill>
                </w14:textFill>
              </w:rPr>
              <w:t>控制单元可否访问：______________________________________________________</w:t>
            </w:r>
          </w:p>
          <w:p w14:paraId="1EBC4BA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 w:val="0"/>
                <w:bCs/>
                <w:color w:val="000000" w:themeColor="text1"/>
                <w:lang w:val="en-US" w:eastAsia="zh-CN"/>
                <w14:textFill>
                  <w14:solidFill>
                    <w14:schemeClr w14:val="tx1"/>
                  </w14:solidFill>
                </w14:textFill>
              </w:rPr>
            </w:pPr>
            <w:r>
              <w:rPr>
                <w:rFonts w:hint="eastAsia" w:ascii="宋体" w:hAnsi="宋体" w:eastAsia="宋体" w:cs="宋体"/>
                <w:b w:val="0"/>
                <w:bCs/>
                <w:color w:val="000000" w:themeColor="text1"/>
                <w:lang w:val="en-US" w:eastAsia="zh-CN"/>
                <w14:textFill>
                  <w14:solidFill>
                    <w14:schemeClr w14:val="tx1"/>
                  </w14:solidFill>
                </w14:textFill>
              </w:rPr>
              <w:t>有、无故障码：_______________。故障码：_________________________________</w:t>
            </w:r>
          </w:p>
          <w:p w14:paraId="6891113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 w:val="0"/>
                <w:bCs/>
                <w:color w:val="000000" w:themeColor="text1"/>
                <w:lang w:val="en-US" w:eastAsia="zh-CN"/>
                <w14:textFill>
                  <w14:solidFill>
                    <w14:schemeClr w14:val="tx1"/>
                  </w14:solidFill>
                </w14:textFill>
              </w:rPr>
            </w:pPr>
            <w:r>
              <w:rPr>
                <w:rFonts w:hint="eastAsia" w:ascii="宋体" w:hAnsi="宋体" w:eastAsia="宋体" w:cs="宋体"/>
                <w:b w:val="0"/>
                <w:bCs/>
                <w:color w:val="000000" w:themeColor="text1"/>
                <w:lang w:val="en-US" w:eastAsia="zh-CN"/>
                <w14:textFill>
                  <w14:solidFill>
                    <w14:schemeClr w14:val="tx1"/>
                  </w14:solidFill>
                </w14:textFill>
              </w:rPr>
              <w:t>6. 查阅电路图检查慢充线路，分析故障范围</w:t>
            </w:r>
          </w:p>
          <w:p w14:paraId="62D29E3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 w:val="0"/>
                <w:bCs/>
                <w:color w:val="000000" w:themeColor="text1"/>
                <w:lang w:val="en-US" w:eastAsia="zh-CN"/>
                <w14:textFill>
                  <w14:solidFill>
                    <w14:schemeClr w14:val="tx1"/>
                  </w14:solidFill>
                </w14:textFill>
              </w:rPr>
            </w:pPr>
            <w:r>
              <w:rPr>
                <w:rFonts w:hint="eastAsia" w:ascii="宋体" w:hAnsi="宋体" w:eastAsia="宋体" w:cs="宋体"/>
                <w:b w:val="0"/>
                <w:bCs/>
                <w:color w:val="000000" w:themeColor="text1"/>
                <w:lang w:val="en-US" w:eastAsia="zh-CN"/>
                <w14:textFill>
                  <w14:solidFill>
                    <w14:schemeClr w14:val="tx1"/>
                  </w14:solidFill>
                </w14:textFill>
              </w:rPr>
              <w:t>检查慢充桩与慢充接口连接是否良好，检查车载充电机、电机控制器线路是否良好。</w:t>
            </w:r>
          </w:p>
          <w:p w14:paraId="75A0261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 w:val="0"/>
                <w:bCs/>
                <w:color w:val="000000" w:themeColor="text1"/>
                <w:lang w:val="en-US" w:eastAsia="zh-CN"/>
                <w14:textFill>
                  <w14:solidFill>
                    <w14:schemeClr w14:val="tx1"/>
                  </w14:solidFill>
                </w14:textFill>
              </w:rPr>
            </w:pPr>
            <w:r>
              <w:rPr>
                <w:rFonts w:hint="eastAsia" w:ascii="宋体" w:hAnsi="宋体" w:eastAsia="宋体" w:cs="宋体"/>
                <w:b w:val="0"/>
                <w:bCs/>
                <w:color w:val="000000" w:themeColor="text1"/>
                <w:lang w:val="en-US" w:eastAsia="zh-CN"/>
                <w14:textFill>
                  <w14:solidFill>
                    <w14:schemeClr w14:val="tx1"/>
                  </w14:solidFill>
                </w14:textFill>
              </w:rPr>
              <w:t>7. 诊断结论</w:t>
            </w:r>
          </w:p>
          <w:p w14:paraId="08A7845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 w:val="0"/>
                <w:bCs/>
                <w:color w:val="000000" w:themeColor="text1"/>
                <w:lang w:val="en-US" w:eastAsia="zh-CN"/>
                <w14:textFill>
                  <w14:solidFill>
                    <w14:schemeClr w14:val="tx1"/>
                  </w14:solidFill>
                </w14:textFill>
              </w:rPr>
            </w:pPr>
            <w:r>
              <w:rPr>
                <w:rFonts w:hint="eastAsia" w:ascii="宋体" w:hAnsi="宋体" w:eastAsia="宋体" w:cs="宋体"/>
                <w:b w:val="0"/>
                <w:bCs/>
                <w:color w:val="000000" w:themeColor="text1"/>
                <w:lang w:val="en-US" w:eastAsia="zh-CN"/>
                <w14:textFill>
                  <w14:solidFill>
                    <w14:schemeClr w14:val="tx1"/>
                  </w14:solidFill>
                </w14:textFill>
              </w:rPr>
              <w:t xml:space="preserve">综合以上检查与分析，判断故障点为： </w:t>
            </w:r>
          </w:p>
          <w:p w14:paraId="4623059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 w:val="0"/>
                <w:bCs/>
                <w:color w:val="000000" w:themeColor="text1"/>
                <w:lang w:val="en-US" w:eastAsia="zh-CN"/>
                <w14:textFill>
                  <w14:solidFill>
                    <w14:schemeClr w14:val="tx1"/>
                  </w14:solidFill>
                </w14:textFill>
              </w:rPr>
            </w:pPr>
            <w:r>
              <w:rPr>
                <w:rFonts w:hint="eastAsia" w:ascii="宋体" w:hAnsi="宋体" w:eastAsia="宋体" w:cs="宋体"/>
                <w:b w:val="0"/>
                <w:bCs/>
                <w:color w:val="000000" w:themeColor="text1"/>
                <w:lang w:val="en-US" w:eastAsia="zh-CN"/>
                <w14:textFill>
                  <w14:solidFill>
                    <w14:schemeClr w14:val="tx1"/>
                  </w14:solidFill>
                </w14:textFill>
              </w:rPr>
              <w:t>8. 故障排除后，用故障诊断仪消除故障码，并进行如下检查</w:t>
            </w:r>
          </w:p>
          <w:p w14:paraId="3C49176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 w:val="0"/>
                <w:bCs/>
                <w:color w:val="000000" w:themeColor="text1"/>
                <w:lang w:val="en-US" w:eastAsia="zh-CN"/>
                <w14:textFill>
                  <w14:solidFill>
                    <w14:schemeClr w14:val="tx1"/>
                  </w14:solidFill>
                </w14:textFill>
              </w:rPr>
            </w:pPr>
            <w:r>
              <w:rPr>
                <w:rFonts w:hint="eastAsia" w:ascii="宋体" w:hAnsi="宋体" w:eastAsia="宋体" w:cs="宋体"/>
                <w:b w:val="0"/>
                <w:bCs/>
                <w:color w:val="000000" w:themeColor="text1"/>
                <w:lang w:val="en-US" w:eastAsia="zh-CN"/>
                <w14:textFill>
                  <w14:solidFill>
                    <w14:schemeClr w14:val="tx1"/>
                  </w14:solidFill>
                </w14:textFill>
              </w:rPr>
              <w:t xml:space="preserve">（1）检查仪表及中控是否还有故障提示： </w:t>
            </w:r>
          </w:p>
          <w:p w14:paraId="7E2C6A9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 w:val="0"/>
                <w:bCs/>
                <w:color w:val="000000" w:themeColor="text1"/>
                <w:lang w:val="en-US" w:eastAsia="zh-CN"/>
                <w14:textFill>
                  <w14:solidFill>
                    <w14:schemeClr w14:val="tx1"/>
                  </w14:solidFill>
                </w14:textFill>
              </w:rPr>
            </w:pPr>
            <w:r>
              <w:rPr>
                <w:rFonts w:hint="eastAsia" w:ascii="宋体" w:hAnsi="宋体" w:eastAsia="宋体" w:cs="宋体"/>
                <w:b w:val="0"/>
                <w:bCs/>
                <w:color w:val="000000" w:themeColor="text1"/>
                <w:lang w:val="en-US" w:eastAsia="zh-CN"/>
                <w14:textFill>
                  <w14:solidFill>
                    <w14:schemeClr w14:val="tx1"/>
                  </w14:solidFill>
                </w14:textFill>
              </w:rPr>
              <w:t>（2）检查充电情况：</w:t>
            </w:r>
          </w:p>
          <w:p w14:paraId="7C99A8C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left"/>
              <w:textAlignment w:val="auto"/>
              <w:rPr>
                <w:rFonts w:hint="eastAsia" w:ascii="宋体" w:hAnsi="宋体" w:eastAsia="宋体" w:cs="宋体"/>
                <w:b/>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14:paraId="1337ED8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宋体" w:hAnsi="宋体" w:eastAsia="宋体" w:cs="宋体"/>
                <w:b/>
                <w:szCs w:val="24"/>
                <w:lang w:eastAsia="zh-CN"/>
              </w:rPr>
            </w:pPr>
          </w:p>
          <w:p w14:paraId="46077F0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宋体" w:hAnsi="宋体" w:eastAsia="宋体" w:cs="宋体"/>
                <w:b/>
                <w:szCs w:val="24"/>
                <w:lang w:eastAsia="zh-CN"/>
              </w:rPr>
            </w:pPr>
          </w:p>
          <w:p w14:paraId="2D3E8F4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宋体" w:hAnsi="宋体" w:eastAsia="宋体" w:cs="宋体"/>
                <w:b/>
                <w:szCs w:val="24"/>
                <w:lang w:eastAsia="zh-CN"/>
              </w:rPr>
            </w:pPr>
          </w:p>
          <w:p w14:paraId="61E60A6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宋体" w:hAnsi="宋体" w:eastAsia="宋体" w:cs="宋体"/>
                <w:b/>
                <w:szCs w:val="24"/>
                <w:lang w:eastAsia="zh-CN"/>
              </w:rPr>
            </w:pPr>
          </w:p>
          <w:p w14:paraId="00E28C5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宋体" w:hAnsi="宋体" w:eastAsia="宋体" w:cs="宋体"/>
                <w:b/>
                <w:szCs w:val="24"/>
                <w:lang w:eastAsia="zh-CN"/>
              </w:rPr>
            </w:pPr>
          </w:p>
          <w:p w14:paraId="4041276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宋体" w:hAnsi="宋体" w:eastAsia="宋体" w:cs="宋体"/>
                <w:b/>
                <w:szCs w:val="20"/>
              </w:rPr>
            </w:pPr>
            <w:r>
              <w:rPr>
                <w:rFonts w:hint="eastAsia" w:ascii="宋体" w:hAnsi="宋体" w:eastAsia="宋体" w:cs="宋体"/>
                <w:b/>
                <w:szCs w:val="24"/>
                <w:lang w:eastAsia="zh-CN"/>
              </w:rPr>
              <w:t>展示慢充系统故障诊断与修复（一）</w:t>
            </w:r>
            <w:r>
              <w:rPr>
                <w:rFonts w:hint="eastAsia" w:ascii="宋体" w:hAnsi="宋体" w:eastAsia="宋体" w:cs="宋体"/>
                <w:b/>
                <w:szCs w:val="24"/>
              </w:rPr>
              <w:t>，</w:t>
            </w:r>
            <w:r>
              <w:rPr>
                <w:rFonts w:hint="eastAsia" w:ascii="宋体" w:hAnsi="宋体" w:eastAsia="宋体" w:cs="宋体"/>
                <w:b/>
                <w:szCs w:val="24"/>
                <w:lang w:eastAsia="zh-CN"/>
              </w:rPr>
              <w:t>让学生更加仔细的阅读，从而</w:t>
            </w:r>
            <w:r>
              <w:rPr>
                <w:rFonts w:hint="eastAsia" w:ascii="宋体" w:hAnsi="宋体" w:eastAsia="宋体" w:cs="宋体"/>
                <w:b/>
                <w:szCs w:val="24"/>
              </w:rPr>
              <w:t>激发学生的学习欲望。</w:t>
            </w:r>
          </w:p>
        </w:tc>
      </w:tr>
      <w:tr w14:paraId="4AA45BEA">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34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63F72DD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82" w:firstLineChars="200"/>
              <w:textAlignment w:val="auto"/>
              <w:rPr>
                <w:rFonts w:hint="eastAsia" w:ascii="宋体" w:hAnsi="宋体" w:eastAsia="宋体" w:cs="宋体"/>
                <w:szCs w:val="24"/>
              </w:rPr>
            </w:pPr>
            <w:r>
              <w:rPr>
                <w:rFonts w:hint="eastAsia" w:ascii="宋体" w:hAnsi="宋体" w:eastAsia="宋体" w:cs="宋体"/>
                <w:b/>
                <w:sz w:val="24"/>
                <w:szCs w:val="24"/>
                <w:lang w:eastAsia="zh-CN"/>
              </w:rPr>
              <w:t>作业布置</w:t>
            </w:r>
            <w:r>
              <w:rPr>
                <w:rFonts w:hint="eastAsia" w:ascii="宋体" w:hAnsi="宋体" w:eastAsia="宋体" w:cs="宋体"/>
                <w:b w:val="0"/>
                <w:bCs w:val="0"/>
                <w:szCs w:val="24"/>
              </w:rPr>
              <w:t>（</w:t>
            </w:r>
            <w:r>
              <w:rPr>
                <w:rFonts w:hint="eastAsia" w:ascii="宋体" w:hAnsi="宋体" w:eastAsia="宋体" w:cs="宋体"/>
                <w:b w:val="0"/>
                <w:bCs w:val="0"/>
                <w:szCs w:val="24"/>
                <w:lang w:val="en-US" w:eastAsia="zh-CN"/>
              </w:rPr>
              <w:t>3</w:t>
            </w:r>
            <w:r>
              <w:rPr>
                <w:rFonts w:hint="eastAsia" w:ascii="宋体" w:hAnsi="宋体" w:eastAsia="宋体" w:cs="宋体"/>
                <w:b w:val="0"/>
                <w:bCs w:val="0"/>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14:paraId="3EF98CF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textAlignment w:val="auto"/>
              <w:rPr>
                <w:rFonts w:hint="eastAsia" w:ascii="宋体" w:hAnsi="宋体" w:eastAsia="宋体" w:cs="宋体"/>
                <w:b w:val="0"/>
                <w:bCs/>
                <w:color w:val="C00000"/>
                <w:kern w:val="2"/>
                <w:sz w:val="21"/>
                <w:szCs w:val="21"/>
                <w:lang w:val="en-US" w:eastAsia="zh-CN" w:bidi="ar"/>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43FE4F4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Cs/>
                <w:lang w:eastAsia="zh-CN"/>
              </w:rPr>
            </w:pPr>
            <w:r>
              <w:rPr>
                <w:rFonts w:hint="eastAsia" w:ascii="宋体" w:hAnsi="宋体" w:eastAsia="宋体" w:cs="宋体"/>
                <w:bCs/>
                <w:lang w:val="en-US" w:eastAsia="zh-CN"/>
              </w:rPr>
              <w:t>简述慢充系统充电流程。</w:t>
            </w:r>
          </w:p>
        </w:tc>
        <w:tc>
          <w:tcPr>
            <w:tcW w:w="1366" w:type="dxa"/>
            <w:tcBorders>
              <w:top w:val="single" w:color="auto" w:sz="4" w:space="0"/>
              <w:left w:val="single" w:color="auto" w:sz="4" w:space="0"/>
              <w:bottom w:val="single" w:color="auto" w:sz="4" w:space="0"/>
              <w:right w:val="single" w:color="auto" w:sz="4" w:space="0"/>
            </w:tcBorders>
            <w:vAlign w:val="center"/>
          </w:tcPr>
          <w:p w14:paraId="00D5A51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宋体" w:hAnsi="宋体" w:eastAsia="宋体" w:cs="宋体"/>
                <w:b/>
                <w:szCs w:val="24"/>
              </w:rPr>
            </w:pPr>
            <w:r>
              <w:rPr>
                <w:rFonts w:hint="eastAsia" w:ascii="宋体" w:hAnsi="宋体" w:eastAsia="宋体" w:cs="宋体"/>
                <w:b w:val="0"/>
                <w:bCs/>
                <w:szCs w:val="24"/>
              </w:rPr>
              <w:t>通过课后练习，使学生巩固所学新知识</w:t>
            </w:r>
          </w:p>
        </w:tc>
      </w:tr>
      <w:tr w14:paraId="337114F1">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86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6424E11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82" w:firstLineChars="200"/>
              <w:textAlignment w:val="auto"/>
              <w:rPr>
                <w:rFonts w:hint="eastAsia" w:ascii="宋体" w:hAnsi="宋体" w:eastAsia="宋体" w:cs="宋体"/>
                <w:b/>
                <w:sz w:val="24"/>
                <w:szCs w:val="24"/>
                <w:lang w:eastAsia="zh-CN"/>
              </w:rPr>
            </w:pPr>
            <w:r>
              <w:rPr>
                <w:rFonts w:hint="eastAsia" w:ascii="宋体" w:hAnsi="宋体" w:eastAsia="宋体" w:cs="宋体"/>
                <w:b/>
                <w:sz w:val="24"/>
                <w:szCs w:val="24"/>
                <w:lang w:eastAsia="zh-CN"/>
              </w:rPr>
              <w:t>知识讲解</w:t>
            </w:r>
          </w:p>
          <w:p w14:paraId="0CD8DC2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
                <w:szCs w:val="24"/>
              </w:rPr>
            </w:pPr>
            <w:r>
              <w:rPr>
                <w:rFonts w:hint="eastAsia" w:ascii="宋体" w:hAnsi="宋体" w:eastAsia="宋体" w:cs="宋体"/>
                <w:szCs w:val="24"/>
              </w:rPr>
              <w:t>（40min）</w:t>
            </w:r>
          </w:p>
        </w:tc>
        <w:tc>
          <w:tcPr>
            <w:tcW w:w="5807" w:type="dxa"/>
            <w:tcBorders>
              <w:top w:val="single" w:color="auto" w:sz="4" w:space="0"/>
              <w:left w:val="single" w:color="auto" w:sz="4" w:space="0"/>
              <w:bottom w:val="single" w:color="auto" w:sz="4" w:space="0"/>
              <w:right w:val="single" w:color="auto" w:sz="4" w:space="0"/>
            </w:tcBorders>
            <w:vAlign w:val="center"/>
          </w:tcPr>
          <w:p w14:paraId="536B50E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展示慢充系统故障诊断与修复（二）</w:t>
            </w:r>
          </w:p>
          <w:p w14:paraId="6759913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一、学习效果评价</w:t>
            </w:r>
          </w:p>
          <w:p w14:paraId="117CC4D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选择题</w:t>
            </w:r>
          </w:p>
          <w:p w14:paraId="493C0DC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（1）交流充电系统中车载充电机的功率一般为（　　）。</w:t>
            </w:r>
          </w:p>
          <w:p w14:paraId="3398DFA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 150kW</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B. 1kW</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C. 3.6kW</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D. 6.6kW</w:t>
            </w:r>
          </w:p>
          <w:p w14:paraId="3EC6CE0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（2）交流慢充接口包含（　）对插头，其中 L 插头是（　）。</w:t>
            </w:r>
          </w:p>
          <w:p w14:paraId="7CAC62C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 8，交流电源</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B. 7，交流电源</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p>
          <w:p w14:paraId="0C8E992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C. 7，中线</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D. 9，交流电源</w:t>
            </w:r>
          </w:p>
          <w:p w14:paraId="2C329C5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（3）车载充电机是新能源汽车交流充电系统的关键部件，其上游与（　　）连接，下游与（　　）连接。</w:t>
            </w:r>
          </w:p>
          <w:p w14:paraId="267E0AA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 交流充电桩</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B. 直流充电桩</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p>
          <w:p w14:paraId="5DDB611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C. 动力电池及 BMS</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D. 驱动电机</w:t>
            </w:r>
          </w:p>
          <w:p w14:paraId="164AED0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（4）驱动电机管理系统的主要功能有（　　）。</w:t>
            </w:r>
          </w:p>
          <w:p w14:paraId="5C6714F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 逆变作用实现电流的转换</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B. 对电机的管理</w:t>
            </w:r>
          </w:p>
          <w:p w14:paraId="0AC20FE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C. 直流 - 直流的输出管理</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D. 车辆挡位的控制</w:t>
            </w:r>
          </w:p>
          <w:p w14:paraId="6BFAF72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（5）DC/DC 用于转换的电压方式有（　　）。</w:t>
            </w:r>
          </w:p>
          <w:p w14:paraId="6AF5A3D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 直流 - 交流转换</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B. 交流 - 直流转换</w:t>
            </w:r>
          </w:p>
          <w:p w14:paraId="25F995A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C. 直流 - 直流转换</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D. 不转换</w:t>
            </w:r>
          </w:p>
          <w:p w14:paraId="7C06F4E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（6）PCU 主要由（　　）组成。</w:t>
            </w:r>
          </w:p>
          <w:p w14:paraId="056FD6F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 MCU+DC/DC</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B. VCU+DC/DC</w:t>
            </w:r>
          </w:p>
          <w:p w14:paraId="6FD5DAA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C. BMS+DC/DC</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D. OBC+DC/DC</w:t>
            </w:r>
          </w:p>
          <w:p w14:paraId="0B341A6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技能考核</w:t>
            </w:r>
          </w:p>
          <w:p w14:paraId="7C90938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查阅吉利 EV450 维修手册，根据其慢充系统的电路原理图完成车辆检测。</w:t>
            </w:r>
          </w:p>
          <w:p w14:paraId="03CBFD2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（1）请各小组学习、思考和讨论解决问题的具体工作计划，考虑时间、工具、物料并将流程图画在下面空白处，接下来各组派出代表陈述本组的工作方案。</w:t>
            </w:r>
          </w:p>
          <w:p w14:paraId="60BEF6D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工作计划流程图（可用图表和思维导图）：</w:t>
            </w:r>
          </w:p>
          <w:p w14:paraId="49751CC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（2）各小组对其他组的工作计划进行互评，教师总评，并将评语写在侧面框内。</w:t>
            </w:r>
          </w:p>
          <w:p w14:paraId="7607102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各小组根据教师和各组的评价进行方案优化。</w:t>
            </w:r>
          </w:p>
          <w:p w14:paraId="346EA11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优化后的流程图：</w:t>
            </w:r>
          </w:p>
          <w:p w14:paraId="4257A9C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（3）各小组组长确定每一位学生的学习角色，对小组任务进行分配。组员按组长的要求完成相关任务内容，并将自己所在小组及个人任务内容填入表中。</w:t>
            </w:r>
          </w:p>
          <w:p w14:paraId="5EBD2AC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rPr>
              <w:drawing>
                <wp:inline distT="0" distB="0" distL="114300" distR="114300">
                  <wp:extent cx="2679700" cy="832485"/>
                  <wp:effectExtent l="0" t="0" r="12700" b="571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6"/>
                          <a:stretch>
                            <a:fillRect/>
                          </a:stretch>
                        </pic:blipFill>
                        <pic:spPr>
                          <a:xfrm>
                            <a:off x="0" y="0"/>
                            <a:ext cx="2679700" cy="832485"/>
                          </a:xfrm>
                          <a:prstGeom prst="rect">
                            <a:avLst/>
                          </a:prstGeom>
                          <a:noFill/>
                          <a:ln>
                            <a:noFill/>
                          </a:ln>
                        </pic:spPr>
                      </pic:pic>
                    </a:graphicData>
                  </a:graphic>
                </wp:inline>
              </w:drawing>
            </w:r>
          </w:p>
          <w:p w14:paraId="3C9823D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（4）各小组完成学生实训记录表。</w:t>
            </w:r>
          </w:p>
          <w:p w14:paraId="1554321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rPr>
              <w:drawing>
                <wp:inline distT="0" distB="0" distL="114300" distR="114300">
                  <wp:extent cx="2783205" cy="2019935"/>
                  <wp:effectExtent l="0" t="0" r="10795" b="1206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7"/>
                          <a:stretch>
                            <a:fillRect/>
                          </a:stretch>
                        </pic:blipFill>
                        <pic:spPr>
                          <a:xfrm>
                            <a:off x="0" y="0"/>
                            <a:ext cx="2783205" cy="2019935"/>
                          </a:xfrm>
                          <a:prstGeom prst="rect">
                            <a:avLst/>
                          </a:prstGeom>
                          <a:noFill/>
                          <a:ln>
                            <a:noFill/>
                          </a:ln>
                        </pic:spPr>
                      </pic:pic>
                    </a:graphicData>
                  </a:graphic>
                </wp:inline>
              </w:drawing>
            </w:r>
          </w:p>
          <w:p w14:paraId="461ABE7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二、学习过程评价</w:t>
            </w:r>
          </w:p>
          <w:p w14:paraId="3291ED9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请进行必要的最终检查和“6S”管理</w:t>
            </w:r>
          </w:p>
          <w:p w14:paraId="16398F4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请根据实施过程进行总结并完善改进工作计划</w:t>
            </w:r>
          </w:p>
          <w:p w14:paraId="0EF41AA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总结内容和改进工作计划：</w:t>
            </w:r>
          </w:p>
          <w:p w14:paraId="02F2491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学生填写自评表</w:t>
            </w:r>
          </w:p>
          <w:p w14:paraId="12B04E8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要求每一个小组派代表上讲台讲述小组的学习成果和经验收获。</w:t>
            </w:r>
          </w:p>
          <w:p w14:paraId="56E8600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课堂小组经验分享记录：</w:t>
            </w:r>
          </w:p>
          <w:p w14:paraId="082C104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 教师填写总评表及教师评价结果</w:t>
            </w:r>
          </w:p>
          <w:p w14:paraId="34191AC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教师评价结果记录：</w:t>
            </w:r>
          </w:p>
          <w:p w14:paraId="044D85E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14:paraId="70EB919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宋体" w:hAnsi="宋体" w:eastAsia="宋体" w:cs="宋体"/>
                <w:b/>
                <w:szCs w:val="24"/>
              </w:rPr>
            </w:pPr>
            <w:r>
              <w:rPr>
                <w:rFonts w:hint="eastAsia" w:ascii="宋体" w:hAnsi="宋体" w:eastAsia="宋体" w:cs="宋体"/>
                <w:b/>
                <w:szCs w:val="24"/>
              </w:rPr>
              <w:t>通过教师讲解，了解慢充系统故障诊断与修复（</w:t>
            </w:r>
            <w:r>
              <w:rPr>
                <w:rFonts w:hint="eastAsia" w:ascii="宋体" w:hAnsi="宋体" w:eastAsia="宋体" w:cs="宋体"/>
                <w:b/>
                <w:szCs w:val="24"/>
                <w:lang w:val="en-US" w:eastAsia="zh-CN"/>
              </w:rPr>
              <w:t>二</w:t>
            </w:r>
            <w:r>
              <w:rPr>
                <w:rFonts w:hint="eastAsia" w:ascii="宋体" w:hAnsi="宋体" w:eastAsia="宋体" w:cs="宋体"/>
                <w:b/>
                <w:szCs w:val="24"/>
              </w:rPr>
              <w:t>）的基本理论知识。</w:t>
            </w:r>
          </w:p>
        </w:tc>
      </w:tr>
      <w:tr w14:paraId="159D87E2">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479EAC8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bCs w:val="0"/>
                <w:kern w:val="2"/>
                <w:sz w:val="24"/>
                <w:szCs w:val="24"/>
                <w:lang w:val="en-US" w:eastAsia="zh-CN" w:bidi="ar"/>
              </w:rPr>
            </w:pPr>
            <w:r>
              <w:rPr>
                <w:rFonts w:hint="eastAsia" w:ascii="宋体" w:hAnsi="宋体" w:eastAsia="宋体" w:cs="宋体"/>
                <w:b/>
                <w:bCs w:val="0"/>
                <w:kern w:val="2"/>
                <w:sz w:val="24"/>
                <w:szCs w:val="24"/>
                <w:lang w:val="en-US" w:eastAsia="zh-CN" w:bidi="ar"/>
              </w:rPr>
              <w:t>课堂小结</w:t>
            </w:r>
          </w:p>
          <w:p w14:paraId="5254236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kern w:val="2"/>
                <w:sz w:val="21"/>
                <w:szCs w:val="21"/>
                <w:lang w:val="en-US" w:eastAsia="zh-CN" w:bidi="ar"/>
              </w:rPr>
              <w:t>（3min）</w:t>
            </w:r>
          </w:p>
        </w:tc>
        <w:tc>
          <w:tcPr>
            <w:tcW w:w="5807" w:type="dxa"/>
            <w:tcBorders>
              <w:top w:val="single" w:color="auto" w:sz="4" w:space="0"/>
              <w:left w:val="single" w:color="auto" w:sz="4" w:space="0"/>
              <w:bottom w:val="double" w:color="auto" w:sz="4" w:space="0"/>
              <w:right w:val="single" w:color="auto" w:sz="4" w:space="0"/>
            </w:tcBorders>
            <w:vAlign w:val="center"/>
          </w:tcPr>
          <w:p w14:paraId="246547A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49D1A06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宋体" w:hAnsi="宋体" w:eastAsia="宋体" w:cs="宋体"/>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慢充系统故障诊断与修复（二），让学生知道车载充电机是新能源汽车交流充电系统的关键部件</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14:paraId="1FE0189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4C6682DC">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34723CE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rightChars="0"/>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（2min）</w:t>
            </w:r>
          </w:p>
        </w:tc>
        <w:tc>
          <w:tcPr>
            <w:tcW w:w="5807" w:type="dxa"/>
            <w:tcBorders>
              <w:top w:val="single" w:color="auto" w:sz="4" w:space="0"/>
              <w:left w:val="single" w:color="auto" w:sz="4" w:space="0"/>
              <w:bottom w:val="double" w:color="auto" w:sz="4" w:space="0"/>
              <w:right w:val="single" w:color="auto" w:sz="4" w:space="0"/>
            </w:tcBorders>
            <w:vAlign w:val="center"/>
          </w:tcPr>
          <w:p w14:paraId="1F4E436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5801507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宋体" w:hAnsi="宋体" w:eastAsia="宋体" w:cs="宋体"/>
                <w:bCs/>
                <w:kern w:val="2"/>
                <w:sz w:val="21"/>
                <w:szCs w:val="21"/>
                <w:lang w:val="en-US" w:eastAsia="zh-CN" w:bidi="ar-SA"/>
              </w:rPr>
            </w:pPr>
            <w:r>
              <w:rPr>
                <w:rFonts w:hint="eastAsia" w:ascii="宋体" w:hAnsi="宋体" w:eastAsia="宋体" w:cs="宋体"/>
                <w:bCs/>
                <w:kern w:val="2"/>
                <w:sz w:val="21"/>
                <w:szCs w:val="21"/>
                <w:lang w:val="en-US" w:eastAsia="zh-CN" w:bidi="ar"/>
              </w:rPr>
              <w:t>简述交流充电系统中车载充电机的功率。</w:t>
            </w:r>
          </w:p>
        </w:tc>
        <w:tc>
          <w:tcPr>
            <w:tcW w:w="1366" w:type="dxa"/>
            <w:tcBorders>
              <w:top w:val="single" w:color="auto" w:sz="4" w:space="0"/>
              <w:left w:val="single" w:color="auto" w:sz="4" w:space="0"/>
              <w:bottom w:val="double" w:color="auto" w:sz="4" w:space="0"/>
              <w:right w:val="single" w:color="auto" w:sz="4" w:space="0"/>
            </w:tcBorders>
            <w:vAlign w:val="center"/>
          </w:tcPr>
          <w:p w14:paraId="1B18E18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宋体" w:hAnsi="宋体" w:eastAsia="宋体" w:cs="宋体"/>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16228B42">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2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712AE56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82" w:firstLineChars="200"/>
              <w:textAlignment w:val="auto"/>
              <w:rPr>
                <w:rFonts w:hint="eastAsia" w:ascii="宋体" w:hAnsi="宋体" w:eastAsia="宋体" w:cs="宋体"/>
                <w:b/>
                <w:sz w:val="24"/>
                <w:szCs w:val="24"/>
                <w:lang w:eastAsia="zh-CN"/>
              </w:rPr>
            </w:pPr>
            <w:r>
              <w:rPr>
                <w:rFonts w:hint="eastAsia" w:ascii="宋体" w:hAnsi="宋体" w:eastAsia="宋体" w:cs="宋体"/>
                <w:b/>
                <w:sz w:val="24"/>
                <w:szCs w:val="24"/>
                <w:lang w:eastAsia="zh-CN"/>
              </w:rPr>
              <w:t>知识讲解</w:t>
            </w:r>
          </w:p>
          <w:p w14:paraId="4D1FF7A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
                <w:szCs w:val="24"/>
              </w:rPr>
            </w:pPr>
            <w:r>
              <w:rPr>
                <w:rFonts w:hint="eastAsia" w:ascii="宋体" w:hAnsi="宋体" w:eastAsia="宋体" w:cs="宋体"/>
                <w:szCs w:val="24"/>
              </w:rPr>
              <w:t>（40min）</w:t>
            </w:r>
          </w:p>
        </w:tc>
        <w:tc>
          <w:tcPr>
            <w:tcW w:w="5807" w:type="dxa"/>
            <w:tcBorders>
              <w:top w:val="single" w:color="auto" w:sz="4" w:space="0"/>
              <w:left w:val="single" w:color="auto" w:sz="4" w:space="0"/>
              <w:bottom w:val="single" w:color="auto" w:sz="4" w:space="0"/>
              <w:right w:val="single" w:color="auto" w:sz="4" w:space="0"/>
            </w:tcBorders>
            <w:vAlign w:val="center"/>
          </w:tcPr>
          <w:p w14:paraId="416596B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展示慢充系统故障诊断与修复（三）</w:t>
            </w:r>
          </w:p>
          <w:p w14:paraId="5A16A96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一、慢充系统的作用与组成</w:t>
            </w:r>
          </w:p>
          <w:p w14:paraId="461EB6A6">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sz w:val="21"/>
                <w:szCs w:val="24"/>
              </w:rPr>
            </w:pPr>
            <w:r>
              <w:rPr>
                <w:rFonts w:hint="eastAsia" w:ascii="宋体" w:hAnsi="宋体" w:eastAsia="宋体" w:cs="宋体"/>
                <w:sz w:val="21"/>
                <w:szCs w:val="24"/>
              </w:rPr>
              <w:t>慢充充电系统一般是指将220VAC 引入交流充电桩后，通过充电线缆和充电枪与新能源汽车交流充电接口对接后，车载充电机能将外部交流电网的电转化为直流电来对动力电池进行充电的系统。慢充充电系统主要由车载充电机、充电枪、充电插座、电池管理系统、充电指示灯等组成。</w:t>
            </w:r>
          </w:p>
          <w:p w14:paraId="4D4C375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sz w:val="21"/>
                <w:szCs w:val="24"/>
                <w:lang w:val="en-US" w:eastAsia="zh-CN"/>
              </w:rPr>
            </w:pPr>
            <w:r>
              <w:rPr>
                <w:rFonts w:hint="eastAsia" w:ascii="宋体" w:hAnsi="宋体" w:eastAsia="宋体" w:cs="宋体"/>
              </w:rPr>
              <w:drawing>
                <wp:inline distT="0" distB="0" distL="114300" distR="114300">
                  <wp:extent cx="3548380" cy="1332865"/>
                  <wp:effectExtent l="0" t="0" r="13970" b="635"/>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pic:cNvPicPr>
                        </pic:nvPicPr>
                        <pic:blipFill>
                          <a:blip r:embed="rId8"/>
                          <a:stretch>
                            <a:fillRect/>
                          </a:stretch>
                        </pic:blipFill>
                        <pic:spPr>
                          <a:xfrm>
                            <a:off x="0" y="0"/>
                            <a:ext cx="3548380" cy="1332865"/>
                          </a:xfrm>
                          <a:prstGeom prst="rect">
                            <a:avLst/>
                          </a:prstGeom>
                          <a:noFill/>
                          <a:ln>
                            <a:noFill/>
                          </a:ln>
                        </pic:spPr>
                      </pic:pic>
                    </a:graphicData>
                  </a:graphic>
                </wp:inline>
              </w:drawing>
            </w:r>
          </w:p>
          <w:p w14:paraId="70D9039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p>
          <w:p w14:paraId="2E75F8DE">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sz w:val="21"/>
                <w:szCs w:val="24"/>
              </w:rPr>
            </w:pPr>
            <w:r>
              <w:rPr>
                <w:rFonts w:hint="eastAsia" w:ascii="宋体" w:hAnsi="宋体" w:eastAsia="宋体" w:cs="宋体"/>
                <w:sz w:val="21"/>
                <w:szCs w:val="24"/>
              </w:rPr>
              <w:t>慢充系统主要零部件在车上的布置如图5 - 1 - 2 所示，其中车载充电机通过充电插头与交流电网相连接，将220V 交流电转换为直流电给动力电池充电，监视充电状态并根据充电状态调整充电功率，实现电动汽车充电的智能化控制。充电枪将电网220V 交流电传输给车载充电机。充电指示灯位于组合仪表上。当动力电池正常充电时，充电指示灯闪烁；充电完成，充电电缆末断开，充电指示灯常亮。未充电或存在充电故障时，充电指示灯熄灭。</w:t>
            </w:r>
          </w:p>
          <w:p w14:paraId="69228E8E">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rPr>
            </w:pPr>
            <w:r>
              <w:rPr>
                <w:rFonts w:hint="eastAsia" w:ascii="宋体" w:hAnsi="宋体" w:eastAsia="宋体" w:cs="宋体"/>
              </w:rPr>
              <w:drawing>
                <wp:inline distT="0" distB="0" distL="114300" distR="114300">
                  <wp:extent cx="3549650" cy="2061845"/>
                  <wp:effectExtent l="0" t="0" r="12700" b="14605"/>
                  <wp:docPr id="1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
                          <pic:cNvPicPr>
                            <a:picLocks noChangeAspect="1"/>
                          </pic:cNvPicPr>
                        </pic:nvPicPr>
                        <pic:blipFill>
                          <a:blip r:embed="rId9"/>
                          <a:stretch>
                            <a:fillRect/>
                          </a:stretch>
                        </pic:blipFill>
                        <pic:spPr>
                          <a:xfrm>
                            <a:off x="0" y="0"/>
                            <a:ext cx="3549650" cy="2061845"/>
                          </a:xfrm>
                          <a:prstGeom prst="rect">
                            <a:avLst/>
                          </a:prstGeom>
                          <a:noFill/>
                          <a:ln>
                            <a:noFill/>
                          </a:ln>
                        </pic:spPr>
                      </pic:pic>
                    </a:graphicData>
                  </a:graphic>
                </wp:inline>
              </w:drawing>
            </w:r>
          </w:p>
          <w:p w14:paraId="107D425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rPr>
            </w:pPr>
          </w:p>
          <w:p w14:paraId="39C43BC1">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sz w:val="21"/>
                <w:szCs w:val="24"/>
              </w:rPr>
            </w:pPr>
            <w:r>
              <w:rPr>
                <w:rFonts w:hint="eastAsia" w:ascii="宋体" w:hAnsi="宋体" w:eastAsia="宋体" w:cs="宋体"/>
                <w:sz w:val="21"/>
                <w:szCs w:val="24"/>
              </w:rPr>
              <w:t>慢充系统工作原理如图5 - 1 - 3 所示，当动力电池电量低，用充电枪连接电源与车载充电机，电池管理系统通过检测CC 点电阻（680Ω-250V-16A，220Ω-440V-32A）判定充电电缆的额定容量及充电枪是否连好。</w:t>
            </w:r>
          </w:p>
          <w:p w14:paraId="56EC8D6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sz w:val="21"/>
                <w:szCs w:val="24"/>
                <w:lang w:val="en-US" w:eastAsia="zh-CN"/>
              </w:rPr>
            </w:pPr>
            <w:r>
              <w:rPr>
                <w:rFonts w:hint="eastAsia" w:ascii="宋体" w:hAnsi="宋体" w:eastAsia="宋体" w:cs="宋体"/>
              </w:rPr>
              <w:drawing>
                <wp:inline distT="0" distB="0" distL="114300" distR="114300">
                  <wp:extent cx="3548380" cy="1220470"/>
                  <wp:effectExtent l="0" t="0" r="13970" b="17780"/>
                  <wp:docPr id="1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3"/>
                          <pic:cNvPicPr>
                            <a:picLocks noChangeAspect="1"/>
                          </pic:cNvPicPr>
                        </pic:nvPicPr>
                        <pic:blipFill>
                          <a:blip r:embed="rId10"/>
                          <a:stretch>
                            <a:fillRect/>
                          </a:stretch>
                        </pic:blipFill>
                        <pic:spPr>
                          <a:xfrm>
                            <a:off x="0" y="0"/>
                            <a:ext cx="3548380" cy="1220470"/>
                          </a:xfrm>
                          <a:prstGeom prst="rect">
                            <a:avLst/>
                          </a:prstGeom>
                          <a:noFill/>
                          <a:ln>
                            <a:noFill/>
                          </a:ln>
                        </pic:spPr>
                      </pic:pic>
                    </a:graphicData>
                  </a:graphic>
                </wp:inline>
              </w:drawing>
            </w:r>
          </w:p>
          <w:p w14:paraId="0A3C79CD">
            <w:pPr>
              <w:keepNext w:val="0"/>
              <w:keepLines w:val="0"/>
              <w:pageBreakBefore w:val="0"/>
              <w:widowControl w:val="0"/>
              <w:numPr>
                <w:ilvl w:val="0"/>
                <w:numId w:val="1"/>
              </w:numPr>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供电设备——慢充桩</w:t>
            </w:r>
          </w:p>
          <w:p w14:paraId="7636C322">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sz w:val="21"/>
                <w:szCs w:val="24"/>
              </w:rPr>
            </w:pPr>
            <w:r>
              <w:rPr>
                <w:rFonts w:hint="eastAsia" w:ascii="宋体" w:hAnsi="宋体" w:eastAsia="宋体" w:cs="宋体"/>
                <w:sz w:val="21"/>
                <w:szCs w:val="24"/>
              </w:rPr>
              <w:t>慢充桩也就是电动汽车交流充电桩，是指采用传导方式为</w:t>
            </w:r>
          </w:p>
          <w:p w14:paraId="4B4FF86A">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sz w:val="21"/>
                <w:szCs w:val="24"/>
              </w:rPr>
            </w:pPr>
            <w:r>
              <w:rPr>
                <w:rFonts w:hint="eastAsia" w:ascii="宋体" w:hAnsi="宋体" w:eastAsia="宋体" w:cs="宋体"/>
                <w:sz w:val="21"/>
                <w:szCs w:val="24"/>
              </w:rPr>
              <w:t>具有车载充电机的电动汽车提供交流电源的专用供电装置。充电桩是电动汽车充换电设施的一种，单相充电桩的最大额定功</w:t>
            </w:r>
          </w:p>
          <w:p w14:paraId="6DC2367F">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sz w:val="21"/>
                <w:szCs w:val="24"/>
                <w:lang w:eastAsia="zh-CN"/>
              </w:rPr>
            </w:pPr>
            <w:r>
              <w:rPr>
                <w:rFonts w:hint="eastAsia" w:ascii="宋体" w:hAnsi="宋体" w:eastAsia="宋体" w:cs="宋体"/>
                <w:sz w:val="21"/>
                <w:szCs w:val="24"/>
              </w:rPr>
              <w:t>率为7kW，主要适用于为小型乘用车（纯电动汽车或可插电混合动力电动汽车）充电。可分为壁挂式和直立式</w:t>
            </w:r>
            <w:r>
              <w:rPr>
                <w:rFonts w:hint="eastAsia" w:ascii="宋体" w:hAnsi="宋体" w:eastAsia="宋体" w:cs="宋体"/>
                <w:sz w:val="21"/>
                <w:szCs w:val="24"/>
                <w:lang w:eastAsia="zh-CN"/>
              </w:rPr>
              <w:t>。</w:t>
            </w:r>
          </w:p>
          <w:p w14:paraId="7CB20D82">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sz w:val="21"/>
                <w:szCs w:val="24"/>
              </w:rPr>
            </w:pPr>
            <w:r>
              <w:rPr>
                <w:rFonts w:hint="eastAsia" w:ascii="宋体" w:hAnsi="宋体" w:eastAsia="宋体" w:cs="宋体"/>
                <w:sz w:val="21"/>
                <w:szCs w:val="24"/>
              </w:rPr>
              <w:t>交流充电桩如图5 - 1 - 4 所示，交流充电桩电气系统结构如图5 - 1 - 5 所示，主回路由输入保护断路器、交流智能电能表、交流控制接触器和充电接口组成。主要负责把输入端的电压传输至输出端。</w:t>
            </w:r>
          </w:p>
          <w:p w14:paraId="431843A8">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right="0" w:rightChars="0" w:firstLine="420" w:firstLineChars="200"/>
              <w:jc w:val="both"/>
              <w:textAlignment w:val="auto"/>
              <w:rPr>
                <w:rFonts w:hint="eastAsia" w:ascii="宋体" w:hAnsi="宋体" w:eastAsia="宋体" w:cs="宋体"/>
                <w:color w:val="auto"/>
              </w:rPr>
            </w:pPr>
            <w:r>
              <w:rPr>
                <w:rFonts w:hint="eastAsia" w:ascii="宋体" w:hAnsi="宋体" w:eastAsia="宋体" w:cs="宋体"/>
              </w:rPr>
              <w:drawing>
                <wp:inline distT="0" distB="0" distL="114300" distR="114300">
                  <wp:extent cx="3549015" cy="1545590"/>
                  <wp:effectExtent l="0" t="0" r="0" b="0"/>
                  <wp:docPr id="1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4"/>
                          <pic:cNvPicPr>
                            <a:picLocks noChangeAspect="1"/>
                          </pic:cNvPicPr>
                        </pic:nvPicPr>
                        <pic:blipFill>
                          <a:blip r:embed="rId11"/>
                          <a:srcRect t="4959"/>
                          <a:stretch>
                            <a:fillRect/>
                          </a:stretch>
                        </pic:blipFill>
                        <pic:spPr>
                          <a:xfrm>
                            <a:off x="0" y="0"/>
                            <a:ext cx="3549015" cy="1545590"/>
                          </a:xfrm>
                          <a:prstGeom prst="rect">
                            <a:avLst/>
                          </a:prstGeom>
                          <a:noFill/>
                          <a:ln>
                            <a:noFill/>
                          </a:ln>
                        </pic:spPr>
                      </pic:pic>
                    </a:graphicData>
                  </a:graphic>
                </wp:inline>
              </w:drawing>
            </w:r>
          </w:p>
          <w:p w14:paraId="45E343D5">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2. 慢充接口</w:t>
            </w:r>
          </w:p>
          <w:p w14:paraId="3EE52ABF">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sz w:val="21"/>
                <w:szCs w:val="24"/>
              </w:rPr>
            </w:pPr>
            <w:r>
              <w:rPr>
                <w:rFonts w:hint="eastAsia" w:ascii="宋体" w:hAnsi="宋体" w:eastAsia="宋体" w:cs="宋体"/>
                <w:color w:val="000000"/>
                <w:sz w:val="21"/>
                <w:szCs w:val="24"/>
              </w:rPr>
              <w:t>（1）交流充电接口。</w:t>
            </w:r>
          </w:p>
          <w:p w14:paraId="67A46254">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sz w:val="21"/>
                <w:szCs w:val="24"/>
              </w:rPr>
            </w:pPr>
            <w:r>
              <w:rPr>
                <w:rFonts w:hint="eastAsia" w:ascii="宋体" w:hAnsi="宋体" w:eastAsia="宋体" w:cs="宋体"/>
                <w:color w:val="000000"/>
                <w:sz w:val="21"/>
                <w:szCs w:val="24"/>
              </w:rPr>
              <w:t>交流充电可以分为单相交流充电和三相交流充电两种，其充电接口相同，单相交流充电主要用于家庭用户充电设施和一些标准的公共充电设施，这类充电接口比较简单，提供单相交流充电使用。</w:t>
            </w:r>
          </w:p>
          <w:p w14:paraId="08D902DC">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sz w:val="21"/>
                <w:szCs w:val="24"/>
              </w:rPr>
            </w:pPr>
            <w:r>
              <w:rPr>
                <w:rFonts w:hint="eastAsia" w:ascii="宋体" w:hAnsi="宋体" w:eastAsia="宋体" w:cs="宋体"/>
                <w:sz w:val="21"/>
                <w:szCs w:val="24"/>
              </w:rPr>
              <w:t>三相交流充电接口，这种类型的充电接口一般用于较大的充电站，充电电流较大，外型相对较大，功能复杂。由于这类插头较大，设计的形状类似于枪，所以一般称为充电枪，如图5 - 1 - 7 所示。</w:t>
            </w:r>
          </w:p>
          <w:p w14:paraId="34797259">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right="0" w:rightChars="0" w:firstLine="420" w:firstLineChars="200"/>
              <w:jc w:val="both"/>
              <w:textAlignment w:val="auto"/>
              <w:rPr>
                <w:rFonts w:hint="eastAsia" w:ascii="宋体" w:hAnsi="宋体" w:eastAsia="宋体" w:cs="宋体"/>
                <w:sz w:val="21"/>
                <w:szCs w:val="24"/>
              </w:rPr>
            </w:pPr>
          </w:p>
          <w:p w14:paraId="0325E075">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sz w:val="21"/>
                <w:szCs w:val="24"/>
              </w:rPr>
            </w:pPr>
            <w:r>
              <w:rPr>
                <w:rFonts w:hint="eastAsia" w:ascii="宋体" w:hAnsi="宋体" w:eastAsia="宋体" w:cs="宋体"/>
                <w:sz w:val="21"/>
                <w:szCs w:val="24"/>
              </w:rPr>
              <w:t>（2） 交流充电口端子含义。</w:t>
            </w:r>
          </w:p>
          <w:p w14:paraId="6EE8BAC7">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sz w:val="21"/>
                <w:szCs w:val="24"/>
              </w:rPr>
            </w:pPr>
            <w:r>
              <w:rPr>
                <w:rFonts w:hint="eastAsia" w:ascii="宋体" w:hAnsi="宋体" w:eastAsia="宋体" w:cs="宋体"/>
                <w:sz w:val="21"/>
                <w:szCs w:val="24"/>
              </w:rPr>
              <w:t>国标交流充电桩接口最终采用7 个端子结构，其端子分布方式如图5 - 1 - 8 所示。</w:t>
            </w:r>
          </w:p>
          <w:p w14:paraId="394EF713">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sz w:val="21"/>
                <w:szCs w:val="24"/>
              </w:rPr>
            </w:pPr>
            <w:r>
              <w:rPr>
                <w:rFonts w:hint="eastAsia" w:ascii="宋体" w:hAnsi="宋体" w:eastAsia="宋体" w:cs="宋体"/>
                <w:sz w:val="21"/>
                <w:szCs w:val="24"/>
              </w:rPr>
              <w:t>其中，CC 为充电连接确认引脚，CP 为充电导引引脚。PE 为接地线，L1、L2、L3 为三相线，N 为中线。交流充电接口引脚功能定义如表5 - 1 - 1 所示。</w:t>
            </w:r>
          </w:p>
          <w:p w14:paraId="5EED4810">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right="0" w:rightChars="0" w:firstLine="420" w:firstLineChars="200"/>
              <w:jc w:val="both"/>
              <w:textAlignment w:val="auto"/>
              <w:rPr>
                <w:rFonts w:hint="eastAsia" w:ascii="宋体" w:hAnsi="宋体" w:eastAsia="宋体" w:cs="宋体"/>
                <w:sz w:val="21"/>
                <w:szCs w:val="24"/>
              </w:rPr>
            </w:pPr>
          </w:p>
          <w:p w14:paraId="447A4232">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right="0" w:rightChars="0" w:firstLine="420" w:firstLineChars="200"/>
              <w:jc w:val="both"/>
              <w:textAlignment w:val="auto"/>
              <w:rPr>
                <w:rFonts w:hint="eastAsia" w:ascii="宋体" w:hAnsi="宋体" w:eastAsia="宋体" w:cs="宋体"/>
              </w:rPr>
            </w:pPr>
            <w:r>
              <w:rPr>
                <w:rFonts w:hint="eastAsia" w:ascii="宋体" w:hAnsi="宋体" w:eastAsia="宋体" w:cs="宋体"/>
              </w:rPr>
              <w:drawing>
                <wp:inline distT="0" distB="0" distL="114300" distR="114300">
                  <wp:extent cx="3200400" cy="2314575"/>
                  <wp:effectExtent l="0" t="0" r="0" b="9525"/>
                  <wp:docPr id="1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6"/>
                          <pic:cNvPicPr>
                            <a:picLocks noChangeAspect="1"/>
                          </pic:cNvPicPr>
                        </pic:nvPicPr>
                        <pic:blipFill>
                          <a:blip r:embed="rId12"/>
                          <a:stretch>
                            <a:fillRect/>
                          </a:stretch>
                        </pic:blipFill>
                        <pic:spPr>
                          <a:xfrm>
                            <a:off x="0" y="0"/>
                            <a:ext cx="3200400" cy="2314575"/>
                          </a:xfrm>
                          <a:prstGeom prst="rect">
                            <a:avLst/>
                          </a:prstGeom>
                          <a:noFill/>
                          <a:ln>
                            <a:noFill/>
                          </a:ln>
                        </pic:spPr>
                      </pic:pic>
                    </a:graphicData>
                  </a:graphic>
                </wp:inline>
              </w:drawing>
            </w:r>
          </w:p>
          <w:p w14:paraId="289E623B">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right="0" w:rightChars="0" w:firstLine="420" w:firstLineChars="200"/>
              <w:jc w:val="both"/>
              <w:textAlignment w:val="auto"/>
              <w:rPr>
                <w:rFonts w:hint="eastAsia" w:ascii="宋体" w:hAnsi="宋体" w:eastAsia="宋体" w:cs="宋体"/>
              </w:rPr>
            </w:pPr>
            <w:r>
              <w:rPr>
                <w:rFonts w:hint="eastAsia" w:ascii="宋体" w:hAnsi="宋体" w:eastAsia="宋体" w:cs="宋体"/>
              </w:rPr>
              <w:drawing>
                <wp:inline distT="0" distB="0" distL="114300" distR="114300">
                  <wp:extent cx="3549015" cy="1454785"/>
                  <wp:effectExtent l="0" t="0" r="13335" b="12065"/>
                  <wp:docPr id="1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7"/>
                          <pic:cNvPicPr>
                            <a:picLocks noChangeAspect="1"/>
                          </pic:cNvPicPr>
                        </pic:nvPicPr>
                        <pic:blipFill>
                          <a:blip r:embed="rId13"/>
                          <a:stretch>
                            <a:fillRect/>
                          </a:stretch>
                        </pic:blipFill>
                        <pic:spPr>
                          <a:xfrm>
                            <a:off x="0" y="0"/>
                            <a:ext cx="3549015" cy="1454785"/>
                          </a:xfrm>
                          <a:prstGeom prst="rect">
                            <a:avLst/>
                          </a:prstGeom>
                          <a:noFill/>
                          <a:ln>
                            <a:noFill/>
                          </a:ln>
                        </pic:spPr>
                      </pic:pic>
                    </a:graphicData>
                  </a:graphic>
                </wp:inline>
              </w:drawing>
            </w:r>
          </w:p>
          <w:p w14:paraId="4B5BCE4C">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right="0" w:rightChars="0" w:firstLine="420" w:firstLineChars="200"/>
              <w:jc w:val="both"/>
              <w:textAlignment w:val="auto"/>
              <w:rPr>
                <w:rFonts w:hint="eastAsia" w:ascii="宋体" w:hAnsi="宋体" w:eastAsia="宋体" w:cs="宋体"/>
                <w:sz w:val="21"/>
                <w:szCs w:val="24"/>
              </w:rPr>
            </w:pPr>
          </w:p>
          <w:p w14:paraId="2A01629C">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right="0" w:rightChars="0" w:firstLine="420" w:firstLineChars="200"/>
              <w:jc w:val="both"/>
              <w:textAlignment w:val="auto"/>
              <w:rPr>
                <w:rFonts w:hint="eastAsia" w:ascii="宋体" w:hAnsi="宋体" w:eastAsia="宋体" w:cs="宋体"/>
              </w:rPr>
            </w:pPr>
            <w:r>
              <w:rPr>
                <w:rFonts w:hint="eastAsia" w:ascii="宋体" w:hAnsi="宋体" w:eastAsia="宋体" w:cs="宋体"/>
              </w:rPr>
              <w:drawing>
                <wp:inline distT="0" distB="0" distL="114300" distR="114300">
                  <wp:extent cx="3545205" cy="1702435"/>
                  <wp:effectExtent l="0" t="0" r="17145" b="12065"/>
                  <wp:docPr id="1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5"/>
                          <pic:cNvPicPr>
                            <a:picLocks noChangeAspect="1"/>
                          </pic:cNvPicPr>
                        </pic:nvPicPr>
                        <pic:blipFill>
                          <a:blip r:embed="rId14"/>
                          <a:stretch>
                            <a:fillRect/>
                          </a:stretch>
                        </pic:blipFill>
                        <pic:spPr>
                          <a:xfrm>
                            <a:off x="0" y="0"/>
                            <a:ext cx="3545205" cy="1702435"/>
                          </a:xfrm>
                          <a:prstGeom prst="rect">
                            <a:avLst/>
                          </a:prstGeom>
                          <a:noFill/>
                          <a:ln>
                            <a:noFill/>
                          </a:ln>
                        </pic:spPr>
                      </pic:pic>
                    </a:graphicData>
                  </a:graphic>
                </wp:inline>
              </w:drawing>
            </w:r>
          </w:p>
          <w:p w14:paraId="727C24D5">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4"/>
              </w:rPr>
            </w:pPr>
            <w:r>
              <w:rPr>
                <w:rFonts w:hint="eastAsia" w:ascii="宋体" w:hAnsi="宋体" w:eastAsia="宋体" w:cs="宋体"/>
                <w:color w:val="auto"/>
                <w:sz w:val="21"/>
                <w:szCs w:val="24"/>
              </w:rPr>
              <w:t>3. 车载充电机</w:t>
            </w:r>
          </w:p>
          <w:p w14:paraId="5F1C70ED">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sz w:val="21"/>
                <w:szCs w:val="24"/>
              </w:rPr>
            </w:pPr>
            <w:r>
              <w:rPr>
                <w:rFonts w:hint="eastAsia" w:ascii="宋体" w:hAnsi="宋体" w:eastAsia="宋体" w:cs="宋体"/>
                <w:color w:val="000000"/>
                <w:sz w:val="21"/>
                <w:szCs w:val="24"/>
              </w:rPr>
              <w:t>（1）车载充电机的结构。</w:t>
            </w:r>
          </w:p>
          <w:p w14:paraId="37CED0D3">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sz w:val="21"/>
                <w:szCs w:val="24"/>
              </w:rPr>
            </w:pPr>
            <w:r>
              <w:rPr>
                <w:rFonts w:hint="eastAsia" w:ascii="宋体" w:hAnsi="宋体" w:eastAsia="宋体" w:cs="宋体"/>
                <w:color w:val="000000"/>
                <w:sz w:val="21"/>
                <w:szCs w:val="24"/>
              </w:rPr>
              <w:t>以吉利EV450 为例，该款车的车载充电机安装在车辆前舱右侧，其车载充电机集成了车载充电和高压配电系统。车载充电机相关的外部接口主要包括动力电池直流母线接口、交流充电接口和车载充电机低压连接器接口，如图5 - 1 - 9 所示。车载充电机的总体结构主要由上端盖、上部密封垫、车载充电机主体、下部密封垫和下盖板等组成。车载充电机主体作为核心部件，其内部可分为三部分：主电路、控制电路、线束及标准件。</w:t>
            </w:r>
          </w:p>
          <w:p w14:paraId="6D85AF1E">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right="0" w:rightChars="0" w:firstLine="420" w:firstLineChars="200"/>
              <w:jc w:val="both"/>
              <w:textAlignment w:val="auto"/>
              <w:rPr>
                <w:rFonts w:hint="eastAsia" w:ascii="宋体" w:hAnsi="宋体" w:eastAsia="宋体" w:cs="宋体"/>
                <w:color w:val="000000"/>
                <w:sz w:val="21"/>
                <w:szCs w:val="24"/>
              </w:rPr>
            </w:pPr>
          </w:p>
          <w:p w14:paraId="0D7AD7C2">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sz w:val="21"/>
                <w:szCs w:val="24"/>
              </w:rPr>
            </w:pPr>
            <w:r>
              <w:rPr>
                <w:rFonts w:hint="eastAsia" w:ascii="宋体" w:hAnsi="宋体" w:eastAsia="宋体" w:cs="宋体"/>
                <w:sz w:val="21"/>
                <w:szCs w:val="24"/>
              </w:rPr>
              <w:t>（2）车载充电机的功能。</w:t>
            </w:r>
          </w:p>
          <w:p w14:paraId="2E0868FB">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right="0" w:rightChars="0" w:firstLine="420" w:firstLineChars="200"/>
              <w:jc w:val="both"/>
              <w:textAlignment w:val="auto"/>
              <w:rPr>
                <w:rFonts w:hint="eastAsia" w:ascii="宋体" w:hAnsi="宋体" w:eastAsia="宋体" w:cs="宋体"/>
                <w:sz w:val="21"/>
                <w:szCs w:val="24"/>
              </w:rPr>
            </w:pPr>
            <w:r>
              <w:rPr>
                <w:rFonts w:hint="eastAsia" w:ascii="宋体" w:hAnsi="宋体" w:eastAsia="宋体" w:cs="宋体"/>
                <w:sz w:val="21"/>
                <w:szCs w:val="24"/>
              </w:rPr>
              <w:t>① 具有为电动汽车动力电池安全自动充满电的能力。</w:t>
            </w:r>
          </w:p>
          <w:p w14:paraId="385C35FC">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sz w:val="21"/>
                <w:szCs w:val="24"/>
              </w:rPr>
            </w:pPr>
            <w:r>
              <w:rPr>
                <w:rFonts w:hint="eastAsia" w:ascii="宋体" w:hAnsi="宋体" w:eastAsia="宋体" w:cs="宋体"/>
                <w:sz w:val="21"/>
                <w:szCs w:val="24"/>
              </w:rPr>
              <w:t>②具备高速CAN 网络与BMS 通信的功能，判断电池连接状态是否正确，获得电池系统参数及充电前和充电过程中整组和单体电池的实时数据。</w:t>
            </w:r>
          </w:p>
          <w:p w14:paraId="6B559125">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sz w:val="21"/>
                <w:szCs w:val="24"/>
              </w:rPr>
            </w:pPr>
            <w:r>
              <w:rPr>
                <w:rFonts w:hint="eastAsia" w:ascii="宋体" w:hAnsi="宋体" w:eastAsia="宋体" w:cs="宋体"/>
                <w:sz w:val="21"/>
                <w:szCs w:val="24"/>
              </w:rPr>
              <w:t>③可通过高速CAN 网络与车辆监控系统通信，上传充电机的工作状态、工作参数和故障告警信息，接受启动充电或停止充电控制命令。</w:t>
            </w:r>
          </w:p>
          <w:p w14:paraId="185351FD">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right="0" w:rightChars="0" w:firstLine="420" w:firstLineChars="200"/>
              <w:jc w:val="both"/>
              <w:textAlignment w:val="auto"/>
              <w:rPr>
                <w:rFonts w:hint="eastAsia" w:ascii="宋体" w:hAnsi="宋体" w:eastAsia="宋体" w:cs="宋体"/>
                <w:sz w:val="21"/>
                <w:szCs w:val="24"/>
              </w:rPr>
            </w:pPr>
            <w:r>
              <w:rPr>
                <w:rFonts w:hint="eastAsia" w:ascii="宋体" w:hAnsi="宋体" w:eastAsia="宋体" w:cs="宋体"/>
                <w:sz w:val="21"/>
                <w:szCs w:val="24"/>
              </w:rPr>
              <w:t>④完备的安全防护措施。</w:t>
            </w:r>
          </w:p>
          <w:p w14:paraId="34CCF419">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right="0" w:rightChars="0" w:firstLine="420" w:firstLineChars="200"/>
              <w:jc w:val="both"/>
              <w:textAlignment w:val="auto"/>
              <w:rPr>
                <w:rFonts w:hint="eastAsia" w:ascii="宋体" w:hAnsi="宋体" w:eastAsia="宋体" w:cs="宋体"/>
                <w:sz w:val="21"/>
                <w:szCs w:val="24"/>
              </w:rPr>
            </w:pPr>
          </w:p>
          <w:p w14:paraId="78B77E68">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sz w:val="21"/>
                <w:szCs w:val="24"/>
              </w:rPr>
            </w:pPr>
            <w:r>
              <w:rPr>
                <w:rFonts w:hint="eastAsia" w:ascii="宋体" w:hAnsi="宋体" w:eastAsia="宋体" w:cs="宋体"/>
                <w:sz w:val="21"/>
                <w:szCs w:val="24"/>
              </w:rPr>
              <w:t>（3）车载充电机的组成。</w:t>
            </w:r>
          </w:p>
          <w:p w14:paraId="3BD6C7BE">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sz w:val="21"/>
                <w:szCs w:val="24"/>
              </w:rPr>
            </w:pPr>
            <w:r>
              <w:rPr>
                <w:rFonts w:hint="eastAsia" w:ascii="宋体" w:hAnsi="宋体" w:eastAsia="宋体" w:cs="宋体"/>
                <w:sz w:val="21"/>
                <w:szCs w:val="24"/>
              </w:rPr>
              <w:t>车载充电机由交流输入接口、功率单元、控制单元、低压辅助单元、直流输出端口等部分组成，如图5 - 1 - 11 所示。</w:t>
            </w:r>
          </w:p>
          <w:p w14:paraId="57940072">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right="0" w:rightChars="0" w:firstLine="420" w:firstLineChars="200"/>
              <w:jc w:val="both"/>
              <w:textAlignment w:val="auto"/>
              <w:rPr>
                <w:rFonts w:hint="eastAsia" w:ascii="宋体" w:hAnsi="宋体" w:eastAsia="宋体" w:cs="宋体"/>
              </w:rPr>
            </w:pPr>
            <w:r>
              <w:rPr>
                <w:rFonts w:hint="eastAsia" w:ascii="宋体" w:hAnsi="宋体" w:eastAsia="宋体" w:cs="宋体"/>
              </w:rPr>
              <w:drawing>
                <wp:inline distT="0" distB="0" distL="114300" distR="114300">
                  <wp:extent cx="3549650" cy="1623060"/>
                  <wp:effectExtent l="0" t="0" r="12700" b="15240"/>
                  <wp:docPr id="16"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8"/>
                          <pic:cNvPicPr>
                            <a:picLocks noChangeAspect="1"/>
                          </pic:cNvPicPr>
                        </pic:nvPicPr>
                        <pic:blipFill>
                          <a:blip r:embed="rId15"/>
                          <a:stretch>
                            <a:fillRect/>
                          </a:stretch>
                        </pic:blipFill>
                        <pic:spPr>
                          <a:xfrm>
                            <a:off x="0" y="0"/>
                            <a:ext cx="3549650" cy="1623060"/>
                          </a:xfrm>
                          <a:prstGeom prst="rect">
                            <a:avLst/>
                          </a:prstGeom>
                          <a:noFill/>
                          <a:ln>
                            <a:noFill/>
                          </a:ln>
                        </pic:spPr>
                      </pic:pic>
                    </a:graphicData>
                  </a:graphic>
                </wp:inline>
              </w:drawing>
            </w:r>
          </w:p>
          <w:p w14:paraId="0BDD5FBA">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right="0" w:rightChars="0" w:firstLine="420" w:firstLineChars="200"/>
              <w:jc w:val="both"/>
              <w:textAlignment w:val="auto"/>
              <w:rPr>
                <w:rFonts w:hint="eastAsia" w:ascii="宋体" w:hAnsi="宋体" w:eastAsia="宋体" w:cs="宋体"/>
              </w:rPr>
            </w:pPr>
          </w:p>
          <w:p w14:paraId="03457914">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40" w:firstLineChars="200"/>
              <w:jc w:val="both"/>
              <w:textAlignment w:val="auto"/>
              <w:rPr>
                <w:rFonts w:hint="eastAsia" w:ascii="宋体" w:hAnsi="宋体" w:eastAsia="宋体" w:cs="宋体"/>
                <w:color w:val="00FFFF"/>
                <w:sz w:val="22"/>
                <w:szCs w:val="24"/>
              </w:rPr>
            </w:pPr>
            <w:r>
              <w:rPr>
                <w:rFonts w:hint="eastAsia" w:ascii="宋体" w:hAnsi="宋体" w:eastAsia="宋体" w:cs="宋体"/>
                <w:color w:val="auto"/>
                <w:sz w:val="22"/>
                <w:szCs w:val="24"/>
              </w:rPr>
              <w:t>二、慢充系统工作原理</w:t>
            </w:r>
          </w:p>
          <w:p w14:paraId="2FAABCC6">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sz w:val="21"/>
                <w:szCs w:val="24"/>
              </w:rPr>
            </w:pPr>
            <w:r>
              <w:rPr>
                <w:rFonts w:hint="eastAsia" w:ascii="宋体" w:hAnsi="宋体" w:eastAsia="宋体" w:cs="宋体"/>
                <w:color w:val="000000"/>
                <w:sz w:val="21"/>
                <w:szCs w:val="24"/>
              </w:rPr>
              <w:t>车载充电机通过充电线缆与前端的交流充电桩或充电线缆控制器等设备相连接并进行通信，从而获得交流电能的供给，车载充电机完成交流电转直流电的AC/DC 转换；车载充电机的后端与电池系统（包括动力电池组及电池管理系统）相连并进行通信，得到剩余电量、所需充电电压和充电电流等信息，并提供直流电能进行能量补充，如图5 - 1 - 12 所示。</w:t>
            </w:r>
          </w:p>
          <w:p w14:paraId="524D6361">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sz w:val="21"/>
                <w:szCs w:val="24"/>
              </w:rPr>
            </w:pPr>
            <w:r>
              <w:rPr>
                <w:rFonts w:hint="eastAsia" w:ascii="宋体" w:hAnsi="宋体" w:eastAsia="宋体" w:cs="宋体"/>
                <w:color w:val="000000"/>
                <w:sz w:val="21"/>
                <w:szCs w:val="24"/>
              </w:rPr>
              <w:t>车载充电机的主要功用就是信息交互通信，能量获取、有效处理及输送，同时有效提高电能的利用效率。在充电准备及过程中，电池管理系统（BMS）将动力电池组所需的充电电压、充电电流等充电需求状态经CAN 总线发送给充电机，车载充电机则把充电回路的输出电压和输出电流等功率信息实时反馈给电池管理系统。</w:t>
            </w:r>
          </w:p>
          <w:p w14:paraId="45C7C847">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sz w:val="21"/>
                <w:szCs w:val="24"/>
              </w:rPr>
            </w:pPr>
            <w:r>
              <w:rPr>
                <w:rFonts w:hint="eastAsia" w:ascii="宋体" w:hAnsi="宋体" w:eastAsia="宋体" w:cs="宋体"/>
                <w:color w:val="000000"/>
                <w:sz w:val="21"/>
                <w:szCs w:val="24"/>
              </w:rPr>
              <w:t>充电机在地面充电装置与充电电池之间起到功率转换窗口的作用。交流充电桩通过交流充电接口将能量发送给车载充电机，车载充电机与电池管理系统通信，并将能量传递给动力电池。</w:t>
            </w:r>
          </w:p>
          <w:p w14:paraId="3917934B">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right="0" w:rightChars="0" w:firstLine="420" w:firstLineChars="200"/>
              <w:jc w:val="both"/>
              <w:textAlignment w:val="auto"/>
              <w:rPr>
                <w:rFonts w:hint="eastAsia" w:ascii="宋体" w:hAnsi="宋体" w:eastAsia="宋体" w:cs="宋体"/>
              </w:rPr>
            </w:pPr>
            <w:r>
              <w:rPr>
                <w:rFonts w:hint="eastAsia" w:ascii="宋体" w:hAnsi="宋体" w:eastAsia="宋体" w:cs="宋体"/>
              </w:rPr>
              <w:drawing>
                <wp:inline distT="0" distB="0" distL="114300" distR="114300">
                  <wp:extent cx="3550285" cy="1636395"/>
                  <wp:effectExtent l="0" t="0" r="12065" b="1905"/>
                  <wp:docPr id="17"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9"/>
                          <pic:cNvPicPr>
                            <a:picLocks noChangeAspect="1"/>
                          </pic:cNvPicPr>
                        </pic:nvPicPr>
                        <pic:blipFill>
                          <a:blip r:embed="rId16"/>
                          <a:stretch>
                            <a:fillRect/>
                          </a:stretch>
                        </pic:blipFill>
                        <pic:spPr>
                          <a:xfrm>
                            <a:off x="0" y="0"/>
                            <a:ext cx="3550285" cy="1636395"/>
                          </a:xfrm>
                          <a:prstGeom prst="rect">
                            <a:avLst/>
                          </a:prstGeom>
                          <a:noFill/>
                          <a:ln>
                            <a:noFill/>
                          </a:ln>
                        </pic:spPr>
                      </pic:pic>
                    </a:graphicData>
                  </a:graphic>
                </wp:inline>
              </w:drawing>
            </w:r>
          </w:p>
          <w:p w14:paraId="26AAB3DA">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right="0" w:rightChars="0" w:firstLine="420" w:firstLineChars="200"/>
              <w:jc w:val="both"/>
              <w:textAlignment w:val="auto"/>
              <w:rPr>
                <w:rFonts w:hint="eastAsia" w:ascii="宋体" w:hAnsi="宋体" w:eastAsia="宋体" w:cs="宋体"/>
              </w:rPr>
            </w:pPr>
          </w:p>
          <w:p w14:paraId="55854C27">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42" w:firstLineChars="200"/>
              <w:jc w:val="both"/>
              <w:textAlignment w:val="auto"/>
              <w:rPr>
                <w:rFonts w:hint="eastAsia" w:ascii="宋体" w:hAnsi="宋体" w:eastAsia="宋体" w:cs="宋体"/>
                <w:b/>
                <w:bCs/>
                <w:color w:val="auto"/>
                <w:sz w:val="22"/>
                <w:szCs w:val="24"/>
              </w:rPr>
            </w:pPr>
            <w:r>
              <w:rPr>
                <w:rFonts w:hint="eastAsia" w:ascii="宋体" w:hAnsi="宋体" w:eastAsia="宋体" w:cs="宋体"/>
                <w:b/>
                <w:bCs/>
                <w:color w:val="auto"/>
                <w:sz w:val="22"/>
                <w:szCs w:val="24"/>
              </w:rPr>
              <w:t>三、高低压转换装置</w:t>
            </w:r>
          </w:p>
          <w:p w14:paraId="5711D857">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sz w:val="21"/>
                <w:szCs w:val="24"/>
              </w:rPr>
            </w:pPr>
            <w:r>
              <w:rPr>
                <w:rFonts w:hint="eastAsia" w:ascii="宋体" w:hAnsi="宋体" w:eastAsia="宋体" w:cs="宋体"/>
                <w:color w:val="000000"/>
                <w:sz w:val="21"/>
                <w:szCs w:val="24"/>
              </w:rPr>
              <w:t>在新能源汽车上没有发动机，整车用电的来源也不再是发电机，而是动力电池和蓄电池。由于整车用电器的额定电压是低压，因此需要DC/DC 装置将高压直流电转换</w:t>
            </w:r>
            <w:r>
              <w:rPr>
                <w:rFonts w:hint="eastAsia" w:ascii="宋体" w:hAnsi="宋体" w:eastAsia="宋体" w:cs="宋体"/>
                <w:sz w:val="21"/>
                <w:szCs w:val="24"/>
              </w:rPr>
              <w:t>为低压直流电，这样才能够保持整车用电平衡。</w:t>
            </w:r>
          </w:p>
          <w:p w14:paraId="5138B608">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sz w:val="21"/>
                <w:szCs w:val="24"/>
              </w:rPr>
            </w:pPr>
            <w:r>
              <w:rPr>
                <w:rFonts w:hint="eastAsia" w:ascii="宋体" w:hAnsi="宋体" w:eastAsia="宋体" w:cs="宋体"/>
                <w:sz w:val="21"/>
                <w:szCs w:val="24"/>
              </w:rPr>
              <w:t>电动汽车的高、低压转换系统由动力电池组，DC/DC 模块，</w:t>
            </w:r>
          </w:p>
          <w:p w14:paraId="770B82EF">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sz w:val="21"/>
                <w:szCs w:val="24"/>
              </w:rPr>
            </w:pPr>
            <w:r>
              <w:rPr>
                <w:rFonts w:hint="eastAsia" w:ascii="宋体" w:hAnsi="宋体" w:eastAsia="宋体" w:cs="宋体"/>
                <w:sz w:val="21"/>
                <w:szCs w:val="24"/>
              </w:rPr>
              <w:t>低压蓄电池等组成，如图5 - 1 - 13 所示。当车辆起动，动力电池组完成上电后会将高压直流电通过高压配电系统输入DC/DC模块。DC/DC 模块将高压直流电转换为低压直流电，为全车低压用电设备供电，当检测到低压蓄电池电压不足时，DC/DC 模块为低压蓄电池充电。</w:t>
            </w:r>
          </w:p>
          <w:p w14:paraId="20E012D6">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right="0" w:rightChars="0" w:firstLine="420" w:firstLineChars="200"/>
              <w:jc w:val="both"/>
              <w:textAlignment w:val="auto"/>
              <w:rPr>
                <w:rFonts w:hint="eastAsia" w:ascii="宋体" w:hAnsi="宋体" w:eastAsia="宋体" w:cs="宋体"/>
                <w:sz w:val="21"/>
                <w:szCs w:val="24"/>
              </w:rPr>
            </w:pPr>
            <w:r>
              <w:rPr>
                <w:rFonts w:hint="eastAsia" w:ascii="宋体" w:hAnsi="宋体" w:eastAsia="宋体" w:cs="宋体"/>
                <w:sz w:val="21"/>
                <w:szCs w:val="24"/>
              </w:rPr>
              <w:t>DC/DC 转换器是实现电气系统电能转换和传输的重要电气设备。</w:t>
            </w:r>
          </w:p>
          <w:p w14:paraId="7C6C481E">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sz w:val="21"/>
                <w:szCs w:val="24"/>
              </w:rPr>
            </w:pPr>
            <w:r>
              <w:rPr>
                <w:rFonts w:hint="eastAsia" w:ascii="宋体" w:hAnsi="宋体" w:eastAsia="宋体" w:cs="宋体"/>
                <w:sz w:val="21"/>
                <w:szCs w:val="24"/>
              </w:rPr>
              <w:t>受整车布置的影响，现在很多车将车载充电器OBC 和DC/DC 两个部件合为一个部件，这个部件通常称为二合一控制器，它的作用实际上就是OBC 与DC/DC 两个部件功能的组合。</w:t>
            </w:r>
          </w:p>
          <w:p w14:paraId="6FA7573D">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sz w:val="21"/>
                <w:szCs w:val="24"/>
              </w:rPr>
            </w:pPr>
            <w:r>
              <w:rPr>
                <w:rFonts w:hint="eastAsia" w:ascii="宋体" w:hAnsi="宋体" w:eastAsia="宋体" w:cs="宋体"/>
                <w:sz w:val="21"/>
                <w:szCs w:val="24"/>
              </w:rPr>
              <w:t>因此，DC/DC 转换器在不同电动汽车上有着不同的结构，如北汽新能源汽车的DC/DC 转换器由低压输出负极、低压输出正极、低压控制端、高压输入端等结构组成。吉利EV450 的DC/DC 转换器则集成在电机控制器内，如图5 - 1 - 14 所示。</w:t>
            </w:r>
          </w:p>
          <w:p w14:paraId="43D7AB60">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right="0" w:rightChars="0" w:firstLine="420" w:firstLineChars="200"/>
              <w:jc w:val="both"/>
              <w:textAlignment w:val="auto"/>
              <w:rPr>
                <w:rFonts w:hint="eastAsia" w:ascii="宋体" w:hAnsi="宋体" w:eastAsia="宋体" w:cs="宋体"/>
                <w:sz w:val="21"/>
                <w:szCs w:val="24"/>
              </w:rPr>
            </w:pPr>
            <w:r>
              <w:rPr>
                <w:rFonts w:hint="eastAsia" w:ascii="宋体" w:hAnsi="宋体" w:eastAsia="宋体" w:cs="宋体"/>
              </w:rPr>
              <w:drawing>
                <wp:inline distT="0" distB="0" distL="114300" distR="114300">
                  <wp:extent cx="3550285" cy="3926205"/>
                  <wp:effectExtent l="0" t="0" r="12065" b="17145"/>
                  <wp:docPr id="18"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0"/>
                          <pic:cNvPicPr>
                            <a:picLocks noChangeAspect="1"/>
                          </pic:cNvPicPr>
                        </pic:nvPicPr>
                        <pic:blipFill>
                          <a:blip r:embed="rId17"/>
                          <a:stretch>
                            <a:fillRect/>
                          </a:stretch>
                        </pic:blipFill>
                        <pic:spPr>
                          <a:xfrm>
                            <a:off x="0" y="0"/>
                            <a:ext cx="3550285" cy="3926205"/>
                          </a:xfrm>
                          <a:prstGeom prst="rect">
                            <a:avLst/>
                          </a:prstGeom>
                          <a:noFill/>
                          <a:ln>
                            <a:noFill/>
                          </a:ln>
                        </pic:spPr>
                      </pic:pic>
                    </a:graphicData>
                  </a:graphic>
                </wp:inline>
              </w:drawing>
            </w:r>
          </w:p>
          <w:p w14:paraId="1D8C169A">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right="0" w:rightChars="0" w:firstLine="420" w:firstLineChars="200"/>
              <w:jc w:val="both"/>
              <w:textAlignment w:val="auto"/>
              <w:rPr>
                <w:rFonts w:hint="eastAsia" w:ascii="宋体" w:hAnsi="宋体" w:eastAsia="宋体" w:cs="宋体"/>
              </w:rPr>
            </w:pPr>
          </w:p>
          <w:p w14:paraId="6D1E74CF">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right="0" w:rightChars="0" w:firstLine="420" w:firstLineChars="200"/>
              <w:jc w:val="both"/>
              <w:textAlignment w:val="auto"/>
              <w:rPr>
                <w:rFonts w:hint="eastAsia" w:ascii="宋体" w:hAnsi="宋体" w:eastAsia="宋体" w:cs="宋体"/>
                <w:lang w:val="en-US" w:eastAsia="zh-CN"/>
              </w:rPr>
            </w:pPr>
          </w:p>
          <w:p w14:paraId="58ABD35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14:paraId="3A626D4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宋体" w:hAnsi="宋体" w:eastAsia="宋体" w:cs="宋体"/>
                <w:b/>
                <w:szCs w:val="24"/>
              </w:rPr>
            </w:pPr>
            <w:r>
              <w:rPr>
                <w:rFonts w:hint="eastAsia" w:ascii="宋体" w:hAnsi="宋体" w:eastAsia="宋体" w:cs="宋体"/>
                <w:b/>
                <w:szCs w:val="24"/>
              </w:rPr>
              <w:t>通过教师讲解，了解慢充系统故障诊断与修复（三）的基本理论知识。</w:t>
            </w:r>
          </w:p>
        </w:tc>
      </w:tr>
      <w:tr w14:paraId="7A67B9D4">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31D625F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bCs w:val="0"/>
                <w:kern w:val="2"/>
                <w:sz w:val="24"/>
                <w:szCs w:val="24"/>
              </w:rPr>
            </w:pPr>
            <w:r>
              <w:rPr>
                <w:rFonts w:hint="eastAsia" w:ascii="宋体" w:hAnsi="宋体" w:eastAsia="宋体" w:cs="宋体"/>
                <w:b/>
                <w:bCs w:val="0"/>
                <w:kern w:val="2"/>
                <w:sz w:val="24"/>
                <w:szCs w:val="24"/>
                <w:lang w:val="en-US" w:eastAsia="zh-CN" w:bidi="ar"/>
              </w:rPr>
              <w:t>课堂小结</w:t>
            </w:r>
          </w:p>
          <w:p w14:paraId="1423400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rightChars="0"/>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kern w:val="2"/>
                <w:sz w:val="21"/>
                <w:szCs w:val="21"/>
                <w:lang w:val="en-US" w:eastAsia="zh-CN" w:bidi="ar"/>
              </w:rPr>
              <w:t>（3min）</w:t>
            </w:r>
          </w:p>
        </w:tc>
        <w:tc>
          <w:tcPr>
            <w:tcW w:w="5807" w:type="dxa"/>
            <w:tcBorders>
              <w:top w:val="single" w:color="auto" w:sz="4" w:space="0"/>
              <w:left w:val="single" w:color="auto" w:sz="4" w:space="0"/>
              <w:bottom w:val="double" w:color="auto" w:sz="4" w:space="0"/>
              <w:right w:val="single" w:color="auto" w:sz="4" w:space="0"/>
            </w:tcBorders>
            <w:vAlign w:val="center"/>
          </w:tcPr>
          <w:p w14:paraId="7A28F5E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6967875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宋体" w:hAnsi="宋体" w:eastAsia="宋体" w:cs="宋体"/>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慢充系统故障诊断与修复（三），让学生知道电动汽车的慢充的组成构件和原理</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14:paraId="0BCC0BD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26C28A9D">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25B19B1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rightChars="0"/>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（2min）</w:t>
            </w:r>
          </w:p>
        </w:tc>
        <w:tc>
          <w:tcPr>
            <w:tcW w:w="5807" w:type="dxa"/>
            <w:tcBorders>
              <w:top w:val="single" w:color="auto" w:sz="4" w:space="0"/>
              <w:left w:val="single" w:color="auto" w:sz="4" w:space="0"/>
              <w:bottom w:val="double" w:color="auto" w:sz="4" w:space="0"/>
              <w:right w:val="single" w:color="auto" w:sz="4" w:space="0"/>
            </w:tcBorders>
            <w:vAlign w:val="center"/>
          </w:tcPr>
          <w:p w14:paraId="336F544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300B213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宋体" w:hAnsi="宋体" w:eastAsia="宋体" w:cs="宋体"/>
                <w:bCs/>
                <w:kern w:val="2"/>
                <w:sz w:val="21"/>
                <w:szCs w:val="21"/>
                <w:lang w:val="en-US" w:eastAsia="zh-CN" w:bidi="ar-SA"/>
              </w:rPr>
            </w:pPr>
            <w:r>
              <w:rPr>
                <w:rFonts w:hint="eastAsia" w:ascii="宋体" w:hAnsi="宋体" w:eastAsia="宋体" w:cs="宋体"/>
                <w:bCs/>
                <w:kern w:val="2"/>
                <w:sz w:val="21"/>
                <w:szCs w:val="21"/>
                <w:lang w:val="en-US" w:eastAsia="zh-CN" w:bidi="ar"/>
              </w:rPr>
              <w:t>学生模拟梳理电动汽车的慢充的全过程。</w:t>
            </w:r>
          </w:p>
        </w:tc>
        <w:tc>
          <w:tcPr>
            <w:tcW w:w="1366" w:type="dxa"/>
            <w:tcBorders>
              <w:top w:val="single" w:color="auto" w:sz="4" w:space="0"/>
              <w:left w:val="single" w:color="auto" w:sz="4" w:space="0"/>
              <w:bottom w:val="double" w:color="auto" w:sz="4" w:space="0"/>
              <w:right w:val="single" w:color="auto" w:sz="4" w:space="0"/>
            </w:tcBorders>
            <w:vAlign w:val="center"/>
          </w:tcPr>
          <w:p w14:paraId="338B579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宋体" w:hAnsi="宋体" w:eastAsia="宋体" w:cs="宋体"/>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5D51F8D7">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83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50ECE3D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textAlignment w:val="auto"/>
              <w:rPr>
                <w:rFonts w:hint="eastAsia" w:ascii="宋体" w:hAnsi="宋体" w:eastAsia="宋体" w:cs="宋体"/>
                <w:b/>
                <w:sz w:val="24"/>
                <w:szCs w:val="24"/>
                <w:lang w:eastAsia="zh-CN"/>
              </w:rPr>
            </w:pPr>
            <w:r>
              <w:rPr>
                <w:rFonts w:hint="eastAsia" w:ascii="宋体" w:hAnsi="宋体" w:eastAsia="宋体" w:cs="宋体"/>
                <w:b/>
                <w:sz w:val="24"/>
                <w:szCs w:val="24"/>
                <w:lang w:eastAsia="zh-CN"/>
              </w:rPr>
              <w:t>知识讲解</w:t>
            </w:r>
          </w:p>
          <w:p w14:paraId="64C4ED8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textAlignment w:val="auto"/>
              <w:rPr>
                <w:rFonts w:hint="eastAsia" w:ascii="宋体" w:hAnsi="宋体" w:eastAsia="宋体" w:cs="宋体"/>
                <w:b/>
                <w:szCs w:val="24"/>
              </w:rPr>
            </w:pPr>
            <w:r>
              <w:rPr>
                <w:rFonts w:hint="eastAsia" w:ascii="宋体" w:hAnsi="宋体" w:eastAsia="宋体" w:cs="宋体"/>
                <w:szCs w:val="24"/>
              </w:rPr>
              <w:t>（40min）</w:t>
            </w:r>
          </w:p>
        </w:tc>
        <w:tc>
          <w:tcPr>
            <w:tcW w:w="5807" w:type="dxa"/>
            <w:tcBorders>
              <w:top w:val="single" w:color="auto" w:sz="4" w:space="0"/>
              <w:left w:val="single" w:color="auto" w:sz="4" w:space="0"/>
              <w:bottom w:val="single" w:color="auto" w:sz="4" w:space="0"/>
              <w:right w:val="single" w:color="auto" w:sz="4" w:space="0"/>
            </w:tcBorders>
            <w:vAlign w:val="center"/>
          </w:tcPr>
          <w:p w14:paraId="4A83430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展示慢充系统故障诊断与修复（四）</w:t>
            </w:r>
          </w:p>
          <w:p w14:paraId="5A55C47C">
            <w:pPr>
              <w:keepNext w:val="0"/>
              <w:keepLines w:val="0"/>
              <w:pageBreakBefore w:val="0"/>
              <w:widowControl w:val="0"/>
              <w:numPr>
                <w:ilvl w:val="0"/>
                <w:numId w:val="2"/>
              </w:numPr>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42" w:firstLineChars="200"/>
              <w:jc w:val="both"/>
              <w:textAlignment w:val="auto"/>
              <w:rPr>
                <w:rFonts w:hint="eastAsia" w:ascii="宋体" w:hAnsi="宋体" w:eastAsia="宋体" w:cs="宋体"/>
                <w:b/>
                <w:bCs/>
                <w:color w:val="auto"/>
                <w:sz w:val="22"/>
                <w:szCs w:val="24"/>
              </w:rPr>
            </w:pPr>
            <w:r>
              <w:rPr>
                <w:rFonts w:hint="eastAsia" w:ascii="宋体" w:hAnsi="宋体" w:eastAsia="宋体" w:cs="宋体"/>
                <w:b/>
                <w:bCs/>
                <w:color w:val="auto"/>
                <w:sz w:val="22"/>
                <w:szCs w:val="24"/>
              </w:rPr>
              <w:t>慢充系统常见故障排除</w:t>
            </w:r>
          </w:p>
          <w:p w14:paraId="34B97E3A">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 常见故障</w:t>
            </w:r>
          </w:p>
          <w:p w14:paraId="2A91F64E">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（1）充电桩显示车辆未连接。主要原因有：充电枪安装不到位；车辆与充电桩两端枪反接。</w:t>
            </w:r>
          </w:p>
          <w:p w14:paraId="5FFAD775">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（2）动力电池继电器未闭合。主要原因有：连接器非正常连接；车载充电机输出唤醒不正常。</w:t>
            </w:r>
          </w:p>
          <w:p w14:paraId="6EAA629A">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（3）动力电池继电器正常闭合，但充电机无输出电流。主要原因有：车端充电枪连接不到位；高压保险未熔断；高压连接器及线缆非正确连接。</w:t>
            </w:r>
          </w:p>
          <w:p w14:paraId="2AA74596">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2. 故障排除思路</w:t>
            </w:r>
          </w:p>
          <w:p w14:paraId="0493C75E">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（1）检查线路连接情况，检查充电桩-充电线、慢充口、慢充线束、车载充电机、高压控制盒、动力电池之间的线路连接是否良好。</w:t>
            </w:r>
          </w:p>
          <w:p w14:paraId="4D2AA4F9">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lang w:eastAsia="zh-CN"/>
              </w:rPr>
              <w:t>（</w:t>
            </w:r>
            <w:r>
              <w:rPr>
                <w:rFonts w:hint="eastAsia" w:ascii="宋体" w:hAnsi="宋体" w:eastAsia="宋体" w:cs="宋体"/>
                <w:color w:val="auto"/>
                <w:sz w:val="21"/>
                <w:szCs w:val="21"/>
                <w:lang w:val="en-US" w:eastAsia="zh-CN"/>
              </w:rPr>
              <w:t>2</w:t>
            </w:r>
            <w:r>
              <w:rPr>
                <w:rFonts w:hint="eastAsia" w:ascii="宋体" w:hAnsi="宋体" w:eastAsia="宋体" w:cs="宋体"/>
                <w:color w:val="auto"/>
                <w:sz w:val="21"/>
                <w:szCs w:val="21"/>
                <w:lang w:eastAsia="zh-CN"/>
              </w:rPr>
              <w:t>）</w:t>
            </w:r>
            <w:r>
              <w:rPr>
                <w:rFonts w:hint="eastAsia" w:ascii="宋体" w:hAnsi="宋体" w:eastAsia="宋体" w:cs="宋体"/>
                <w:color w:val="auto"/>
                <w:sz w:val="21"/>
                <w:szCs w:val="21"/>
              </w:rPr>
              <w:t>检查低压供电及唤醒信号是否正常，检查车载充电机指示灯状态检查车载充电机的12V 电源及慢充唤醒信号是否正常，动力电池低压控制端搭铁及VCU 控制搭铁是否正常。</w:t>
            </w:r>
          </w:p>
          <w:p w14:paraId="31BCE9B0">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（3）检查高压电路是否正常，如果低压电路正常，充电仍无法完成，逐步检查充电线、慢充线束、车载充电机、分线盒、动力电池之间的高压电是否正常，是线束故障还是部件故障。</w:t>
            </w:r>
          </w:p>
          <w:p w14:paraId="254C1C35">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（4）使用故障诊断仪分别检查动力电池及车载充电机的工作状态，对数据进行分析，找出故障所在。</w:t>
            </w:r>
          </w:p>
          <w:p w14:paraId="68E6A954">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3.车载充电机与充电桩连接故障的排除</w:t>
            </w:r>
          </w:p>
          <w:p w14:paraId="080FD9DE">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rPr>
              <w:t>（1）检查慢充桩与慢充口连接是否良好。检查车载充电机，发现三个指示灯都不亮。分别测量充电线桩端充电枪的N、L、PE、CP、CC 脚和车辆端的N、L、PE、CP、PE 脚是否导通</w:t>
            </w:r>
            <w:r>
              <w:rPr>
                <w:rFonts w:hint="eastAsia" w:ascii="宋体" w:hAnsi="宋体" w:eastAsia="宋体" w:cs="宋体"/>
                <w:color w:val="auto"/>
                <w:sz w:val="21"/>
                <w:szCs w:val="21"/>
                <w:lang w:val="en-US" w:eastAsia="zh-CN"/>
              </w:rPr>
              <w:t xml:space="preserve">   </w:t>
            </w:r>
            <w:r>
              <w:rPr>
                <w:rFonts w:hint="eastAsia" w:ascii="宋体" w:hAnsi="宋体" w:eastAsia="宋体" w:cs="宋体"/>
                <w:color w:val="auto"/>
                <w:sz w:val="21"/>
                <w:szCs w:val="21"/>
              </w:rPr>
              <w:t>若不导通，则修复或更换充电线总成；测量充电线车辆端充电枪的CC 脚和PE 脚的阻值，16A充电线阻值应为680±3%Ω，32A 充电线阻值应为220±3%Ω，若阻值与标准值不符，则修复或更换充电线总成。</w:t>
            </w:r>
          </w:p>
          <w:p w14:paraId="4B78E871">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rPr>
              <w:t>（2）检查慢充口与车载充电机连接是否良排除充电桩- 充电线问题后，启动充电，车载充电机指示灯仍旧都不亮，则检查慢充线束及车载充电机。</w:t>
            </w:r>
          </w:p>
          <w:p w14:paraId="7FE4A945">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2" w:firstLineChars="200"/>
              <w:jc w:val="both"/>
              <w:textAlignment w:val="auto"/>
              <w:rPr>
                <w:rFonts w:hint="eastAsia" w:ascii="宋体" w:hAnsi="宋体" w:eastAsia="宋体" w:cs="宋体"/>
                <w:b/>
                <w:bCs/>
                <w:color w:val="auto"/>
                <w:sz w:val="21"/>
                <w:szCs w:val="21"/>
              </w:rPr>
            </w:pPr>
            <w:r>
              <w:rPr>
                <w:rFonts w:hint="eastAsia" w:ascii="宋体" w:hAnsi="宋体" w:eastAsia="宋体" w:cs="宋体"/>
                <w:b/>
                <w:bCs/>
                <w:color w:val="auto"/>
                <w:sz w:val="21"/>
                <w:szCs w:val="21"/>
              </w:rPr>
              <w:t>五、高低压转换系统的检测与维修</w:t>
            </w:r>
          </w:p>
          <w:p w14:paraId="794EF9D0">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以吉利EV450 DC/DC 故障为例说明高低压转换系统的检测和维修，电路如图5-1-15所示。</w:t>
            </w:r>
          </w:p>
          <w:p w14:paraId="45B39948">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right="0" w:rightChars="0" w:firstLine="420" w:firstLineChars="200"/>
              <w:jc w:val="both"/>
              <w:textAlignment w:val="auto"/>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rPr>
              <w:drawing>
                <wp:inline distT="0" distB="0" distL="114300" distR="114300">
                  <wp:extent cx="3545205" cy="3226435"/>
                  <wp:effectExtent l="0" t="0" r="17145" b="12065"/>
                  <wp:docPr id="19"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1"/>
                          <pic:cNvPicPr>
                            <a:picLocks noChangeAspect="1"/>
                          </pic:cNvPicPr>
                        </pic:nvPicPr>
                        <pic:blipFill>
                          <a:blip r:embed="rId18"/>
                          <a:stretch>
                            <a:fillRect/>
                          </a:stretch>
                        </pic:blipFill>
                        <pic:spPr>
                          <a:xfrm>
                            <a:off x="0" y="0"/>
                            <a:ext cx="3545205" cy="3226435"/>
                          </a:xfrm>
                          <a:prstGeom prst="rect">
                            <a:avLst/>
                          </a:prstGeom>
                          <a:noFill/>
                          <a:ln>
                            <a:noFill/>
                          </a:ln>
                        </pic:spPr>
                      </pic:pic>
                    </a:graphicData>
                  </a:graphic>
                </wp:inline>
              </w:drawing>
            </w:r>
          </w:p>
          <w:p w14:paraId="71F1783F">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 故障现象</w:t>
            </w:r>
          </w:p>
          <w:p w14:paraId="2A9D3575">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车辆整车不上电，按喇叭无声音，对蓄电池跨接充电后，整车上电，过一段时间后又出现同样故障。</w:t>
            </w:r>
          </w:p>
          <w:p w14:paraId="3843D946">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2. 故障分析</w:t>
            </w:r>
          </w:p>
          <w:p w14:paraId="195B7AF6">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（1）蓄电池跨接充电后，将诊断仪的OBD 接口连接至汽车诊断座接口处。</w:t>
            </w:r>
          </w:p>
          <w:p w14:paraId="38D01910">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（2）将电源开关置于ON 挡位，打开诊断仪，读取故障码。</w:t>
            </w:r>
          </w:p>
          <w:p w14:paraId="1811A9D6">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（3）读取故障码为：蓄电池电压过压故障。</w:t>
            </w:r>
          </w:p>
          <w:p w14:paraId="12FD5449">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（4）分析故障原因为：</w:t>
            </w:r>
          </w:p>
          <w:p w14:paraId="78BEF2D2">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1）保险丝熔断。</w:t>
            </w:r>
          </w:p>
          <w:p w14:paraId="31E560A4">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2）DC / DC 模块线路故障。</w:t>
            </w:r>
          </w:p>
          <w:p w14:paraId="5D8EEAAB">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3）分线盒线路故障。</w:t>
            </w:r>
          </w:p>
          <w:p w14:paraId="1F6E97B4">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4）蓄电池线束故障。</w:t>
            </w:r>
          </w:p>
          <w:p w14:paraId="655FCCD4">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5）DC / DC 模块故障。</w:t>
            </w:r>
          </w:p>
          <w:p w14:paraId="4590C1F9">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3. 故障排查</w:t>
            </w:r>
          </w:p>
          <w:p w14:paraId="654FED9C">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（1）检查蓄电池电压。操作启动开关使电源模式至OFF 状态。用万用表测量蓄电池电压，标准电压为11～14V，确认测量值是否符合标准。</w:t>
            </w:r>
          </w:p>
          <w:p w14:paraId="542EA098">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lang w:eastAsia="zh-CN"/>
              </w:rPr>
              <w:t>（</w:t>
            </w:r>
            <w:r>
              <w:rPr>
                <w:rFonts w:hint="eastAsia" w:ascii="宋体" w:hAnsi="宋体" w:eastAsia="宋体" w:cs="宋体"/>
                <w:color w:val="auto"/>
                <w:sz w:val="21"/>
                <w:szCs w:val="21"/>
                <w:lang w:val="en-US" w:eastAsia="zh-CN"/>
              </w:rPr>
              <w:t>2</w:t>
            </w:r>
            <w:r>
              <w:rPr>
                <w:rFonts w:hint="eastAsia" w:ascii="宋体" w:hAnsi="宋体" w:eastAsia="宋体" w:cs="宋体"/>
                <w:color w:val="auto"/>
                <w:sz w:val="21"/>
                <w:szCs w:val="21"/>
                <w:lang w:eastAsia="zh-CN"/>
              </w:rPr>
              <w:t>）</w:t>
            </w:r>
            <w:r>
              <w:rPr>
                <w:rFonts w:hint="eastAsia" w:ascii="宋体" w:hAnsi="宋体" w:eastAsia="宋体" w:cs="宋体"/>
                <w:color w:val="auto"/>
                <w:sz w:val="21"/>
                <w:szCs w:val="21"/>
              </w:rPr>
              <w:t>检查电机控制器保险丝 IF18、EF32 和蓄电池正极柱头保险丝是否熔断。</w:t>
            </w:r>
          </w:p>
          <w:p w14:paraId="30C3F043">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（3）检查电机控制器低压电源电压。</w:t>
            </w:r>
          </w:p>
          <w:p w14:paraId="7240D5C4">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（4）检查电机控制器接地电阻。</w:t>
            </w:r>
          </w:p>
          <w:p w14:paraId="3731BBB7">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（5）检查分线盒线束。</w:t>
            </w:r>
          </w:p>
          <w:p w14:paraId="132C87BD">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（6）检查 DC/DC 与蓄电池之间的线路。</w:t>
            </w:r>
          </w:p>
          <w:p w14:paraId="42252560">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auto"/>
                <w:sz w:val="21"/>
                <w:szCs w:val="21"/>
              </w:rPr>
            </w:pPr>
            <w:r>
              <w:rPr>
                <w:rFonts w:hint="eastAsia" w:ascii="宋体" w:hAnsi="宋体" w:eastAsia="宋体" w:cs="宋体"/>
                <w:color w:val="auto"/>
                <w:sz w:val="21"/>
                <w:szCs w:val="21"/>
              </w:rPr>
              <w:t>（7）更换电机控制器。操作启动开关使电源模式至 OFF 状态，断开蓄电池负极电缆，拆卸维修开关，更换电机控制器， 确认故障排除。</w:t>
            </w:r>
          </w:p>
          <w:p w14:paraId="5AD26D4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14:paraId="6E253ED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宋体" w:hAnsi="宋体" w:eastAsia="宋体" w:cs="宋体"/>
                <w:b/>
                <w:szCs w:val="24"/>
              </w:rPr>
            </w:pPr>
            <w:r>
              <w:rPr>
                <w:rFonts w:hint="eastAsia" w:ascii="宋体" w:hAnsi="宋体" w:eastAsia="宋体" w:cs="宋体"/>
                <w:b/>
                <w:szCs w:val="24"/>
              </w:rPr>
              <w:t>通过教师讲解，了解慢充系统故障诊断与修复（四）的基本理论知识。</w:t>
            </w:r>
          </w:p>
        </w:tc>
      </w:tr>
      <w:tr w14:paraId="600C7A06">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3912C18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bCs w:val="0"/>
                <w:kern w:val="2"/>
                <w:sz w:val="24"/>
                <w:szCs w:val="24"/>
              </w:rPr>
            </w:pPr>
            <w:r>
              <w:rPr>
                <w:rFonts w:hint="eastAsia" w:ascii="宋体" w:hAnsi="宋体" w:eastAsia="宋体" w:cs="宋体"/>
                <w:b/>
                <w:bCs w:val="0"/>
                <w:kern w:val="2"/>
                <w:sz w:val="24"/>
                <w:szCs w:val="24"/>
                <w:lang w:val="en-US" w:eastAsia="zh-CN" w:bidi="ar"/>
              </w:rPr>
              <w:t>课堂小结</w:t>
            </w:r>
          </w:p>
          <w:p w14:paraId="03A2655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rightChars="0"/>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kern w:val="2"/>
                <w:sz w:val="21"/>
                <w:szCs w:val="21"/>
                <w:lang w:val="en-US" w:eastAsia="zh-CN" w:bidi="ar"/>
              </w:rPr>
              <w:t>（3min）</w:t>
            </w:r>
          </w:p>
        </w:tc>
        <w:tc>
          <w:tcPr>
            <w:tcW w:w="5807" w:type="dxa"/>
            <w:tcBorders>
              <w:top w:val="single" w:color="auto" w:sz="4" w:space="0"/>
              <w:left w:val="single" w:color="auto" w:sz="4" w:space="0"/>
              <w:bottom w:val="double" w:color="auto" w:sz="4" w:space="0"/>
              <w:right w:val="single" w:color="auto" w:sz="4" w:space="0"/>
            </w:tcBorders>
            <w:vAlign w:val="center"/>
          </w:tcPr>
          <w:p w14:paraId="316BEE7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7A571CA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宋体" w:hAnsi="宋体" w:eastAsia="宋体" w:cs="宋体"/>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慢充系统故障诊断与修复（四），让学生慢充系统常见故障类型和排除思路，并以典型案例进行实战探索</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14:paraId="4632654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0F92573B">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1F29C1D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rightChars="0"/>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（2min）</w:t>
            </w:r>
          </w:p>
        </w:tc>
        <w:tc>
          <w:tcPr>
            <w:tcW w:w="5807" w:type="dxa"/>
            <w:tcBorders>
              <w:top w:val="single" w:color="auto" w:sz="4" w:space="0"/>
              <w:left w:val="single" w:color="auto" w:sz="4" w:space="0"/>
              <w:bottom w:val="double" w:color="auto" w:sz="4" w:space="0"/>
              <w:right w:val="single" w:color="auto" w:sz="4" w:space="0"/>
            </w:tcBorders>
            <w:vAlign w:val="center"/>
          </w:tcPr>
          <w:p w14:paraId="4261BBE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010C2A9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宋体" w:hAnsi="宋体" w:eastAsia="宋体" w:cs="宋体"/>
                <w:bCs/>
                <w:kern w:val="2"/>
                <w:sz w:val="21"/>
                <w:szCs w:val="21"/>
                <w:lang w:val="en-US" w:eastAsia="zh-CN" w:bidi="ar-SA"/>
              </w:rPr>
            </w:pPr>
            <w:r>
              <w:rPr>
                <w:rFonts w:hint="eastAsia" w:ascii="宋体" w:hAnsi="宋体" w:eastAsia="宋体" w:cs="宋体"/>
                <w:bCs/>
                <w:kern w:val="2"/>
                <w:sz w:val="21"/>
                <w:szCs w:val="21"/>
                <w:lang w:val="en-US" w:eastAsia="zh-CN" w:bidi="ar-SA"/>
              </w:rPr>
              <w:t>请阐述充电设备国家标准的制定意义。</w:t>
            </w:r>
          </w:p>
        </w:tc>
        <w:tc>
          <w:tcPr>
            <w:tcW w:w="1366" w:type="dxa"/>
            <w:tcBorders>
              <w:top w:val="single" w:color="auto" w:sz="4" w:space="0"/>
              <w:left w:val="single" w:color="auto" w:sz="4" w:space="0"/>
              <w:bottom w:val="double" w:color="auto" w:sz="4" w:space="0"/>
              <w:right w:val="single" w:color="auto" w:sz="4" w:space="0"/>
            </w:tcBorders>
            <w:vAlign w:val="center"/>
          </w:tcPr>
          <w:p w14:paraId="371B782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宋体" w:hAnsi="宋体" w:eastAsia="宋体" w:cs="宋体"/>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0D64FCE3">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22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2ADFF28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textAlignment w:val="auto"/>
              <w:rPr>
                <w:rFonts w:hint="eastAsia" w:ascii="宋体" w:hAnsi="宋体" w:eastAsia="宋体" w:cs="宋体"/>
                <w:b/>
                <w:sz w:val="24"/>
                <w:szCs w:val="24"/>
                <w:lang w:eastAsia="zh-CN"/>
              </w:rPr>
            </w:pPr>
            <w:r>
              <w:rPr>
                <w:rFonts w:hint="eastAsia" w:ascii="宋体" w:hAnsi="宋体" w:eastAsia="宋体" w:cs="宋体"/>
                <w:b/>
                <w:sz w:val="24"/>
                <w:szCs w:val="24"/>
                <w:lang w:eastAsia="zh-CN"/>
              </w:rPr>
              <w:t>知识讲解</w:t>
            </w:r>
          </w:p>
          <w:p w14:paraId="326B506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textAlignment w:val="auto"/>
              <w:rPr>
                <w:rFonts w:hint="eastAsia" w:ascii="宋体" w:hAnsi="宋体" w:eastAsia="宋体" w:cs="宋体"/>
                <w:b/>
                <w:szCs w:val="24"/>
              </w:rPr>
            </w:pPr>
            <w:r>
              <w:rPr>
                <w:rFonts w:hint="eastAsia" w:ascii="宋体" w:hAnsi="宋体" w:eastAsia="宋体" w:cs="宋体"/>
                <w:szCs w:val="24"/>
              </w:rPr>
              <w:t>（40min）</w:t>
            </w:r>
          </w:p>
        </w:tc>
        <w:tc>
          <w:tcPr>
            <w:tcW w:w="5807" w:type="dxa"/>
            <w:tcBorders>
              <w:top w:val="single" w:color="auto" w:sz="4" w:space="0"/>
              <w:left w:val="single" w:color="auto" w:sz="4" w:space="0"/>
              <w:bottom w:val="single" w:color="auto" w:sz="4" w:space="0"/>
              <w:right w:val="single" w:color="auto" w:sz="4" w:space="0"/>
            </w:tcBorders>
            <w:vAlign w:val="center"/>
          </w:tcPr>
          <w:p w14:paraId="6E2A5D4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val="0"/>
                <w:bCs/>
                <w:color w:val="C00000"/>
                <w:kern w:val="2"/>
                <w:sz w:val="21"/>
                <w:szCs w:val="21"/>
                <w:lang w:val="en-US" w:eastAsia="zh-CN" w:bidi="ar"/>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展示快充系统故障诊断与修复（一）</w:t>
            </w:r>
            <w:r>
              <w:rPr>
                <w:rFonts w:hint="eastAsia" w:ascii="宋体" w:hAnsi="宋体" w:eastAsia="宋体" w:cs="宋体"/>
                <w:b w:val="0"/>
                <w:bCs/>
                <w:color w:val="C00000"/>
                <w:kern w:val="2"/>
                <w:sz w:val="21"/>
                <w:szCs w:val="21"/>
                <w:lang w:val="en-US" w:eastAsia="zh-CN" w:bidi="ar"/>
              </w:rPr>
              <w:tab/>
            </w:r>
          </w:p>
          <w:p w14:paraId="19674D1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学习准备</w:t>
            </w:r>
          </w:p>
          <w:p w14:paraId="18FFFF8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一、知识准备</w:t>
            </w:r>
          </w:p>
          <w:p w14:paraId="6A1C6A9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快充系统的组成、作用及工作原理（查阅“学习参考学习单元五　学习任务二”）。</w:t>
            </w:r>
          </w:p>
          <w:p w14:paraId="3D5B29B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快充系统的充电条件（查阅“学习参考学习单元五　学习任务二”）。</w:t>
            </w:r>
          </w:p>
          <w:p w14:paraId="728BC7E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快充系统故障诊断及排除方法（查阅“学习参考学习单元五　学习任务二”）。</w:t>
            </w:r>
          </w:p>
          <w:p w14:paraId="1825B64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找出“任务描述”中的关键词，通过查阅“学习参考”和相关维修手册，对应整理出完成该任务所需要的知识点和技能点。</w:t>
            </w:r>
          </w:p>
          <w:p w14:paraId="4E20CF6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rPr>
              <w:drawing>
                <wp:inline distT="0" distB="0" distL="114300" distR="114300">
                  <wp:extent cx="2990850" cy="744220"/>
                  <wp:effectExtent l="0" t="0" r="6350" b="1778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9"/>
                          <a:stretch>
                            <a:fillRect/>
                          </a:stretch>
                        </pic:blipFill>
                        <pic:spPr>
                          <a:xfrm>
                            <a:off x="0" y="0"/>
                            <a:ext cx="2990850" cy="744220"/>
                          </a:xfrm>
                          <a:prstGeom prst="rect">
                            <a:avLst/>
                          </a:prstGeom>
                          <a:noFill/>
                          <a:ln>
                            <a:noFill/>
                          </a:ln>
                        </pic:spPr>
                      </pic:pic>
                    </a:graphicData>
                  </a:graphic>
                </wp:inline>
              </w:drawing>
            </w:r>
          </w:p>
          <w:p w14:paraId="6AD19DA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二、工作场所</w:t>
            </w:r>
          </w:p>
          <w:p w14:paraId="2C14559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理实一体化教室。</w:t>
            </w:r>
          </w:p>
          <w:p w14:paraId="5E95C88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三、工作器材</w:t>
            </w:r>
          </w:p>
          <w:p w14:paraId="797A1D7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吉利 EV300 车辆、快充充电桩、故障诊断仪器、工量具套装、维修工具套装、检测工具套装（包括万用表、绝缘测试仪、电池内阻测试仪、专用示波器、毫欧表、万用接线盒等）、工位安全保护套装（包括警示牌、隔离带套装、绝缘防护垫等）、人员安全防护套装（绝缘手套、耐磨手套、绝缘鞋、护目镜、安全帽等）等。</w:t>
            </w:r>
          </w:p>
          <w:p w14:paraId="0A4173F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 xml:space="preserve"> 计划与实施</w:t>
            </w:r>
          </w:p>
          <w:p w14:paraId="66DC960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一、现场感受任务描述中的故障现象。</w:t>
            </w:r>
          </w:p>
          <w:p w14:paraId="50F4DA2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现场体验的故障现象是：</w:t>
            </w:r>
          </w:p>
          <w:p w14:paraId="773D12D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二、在教师的引导下分组，以小组为单位学习相关知识，并回答下列问题。</w:t>
            </w:r>
          </w:p>
          <w:p w14:paraId="0BBBAA9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快充充电的方式有哪些？</w:t>
            </w:r>
          </w:p>
          <w:p w14:paraId="730C875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快充系统充电流程是什么？并画出快充系统充电流程图。</w:t>
            </w:r>
          </w:p>
          <w:p w14:paraId="124AD09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写出快充口各端子的含义。</w:t>
            </w:r>
          </w:p>
          <w:p w14:paraId="2EC6A29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三、在教师的引导下，以小组为单位学习相关技能，并填写下面表格。</w:t>
            </w:r>
          </w:p>
          <w:p w14:paraId="6A0F50D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工具准备</w:t>
            </w:r>
          </w:p>
          <w:p w14:paraId="70AAA43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rPr>
              <w:drawing>
                <wp:inline distT="0" distB="0" distL="114300" distR="114300">
                  <wp:extent cx="2824480" cy="1093470"/>
                  <wp:effectExtent l="0" t="0" r="20320" b="2413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20"/>
                          <a:stretch>
                            <a:fillRect/>
                          </a:stretch>
                        </pic:blipFill>
                        <pic:spPr>
                          <a:xfrm>
                            <a:off x="0" y="0"/>
                            <a:ext cx="2824480" cy="1093470"/>
                          </a:xfrm>
                          <a:prstGeom prst="rect">
                            <a:avLst/>
                          </a:prstGeom>
                          <a:noFill/>
                          <a:ln>
                            <a:noFill/>
                          </a:ln>
                        </pic:spPr>
                      </pic:pic>
                    </a:graphicData>
                  </a:graphic>
                </wp:inline>
              </w:drawing>
            </w:r>
          </w:p>
          <w:p w14:paraId="5A340D5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试车</w:t>
            </w:r>
          </w:p>
          <w:p w14:paraId="0BA7148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进行试车，故障现象与客户描述是否一致 。</w:t>
            </w:r>
          </w:p>
          <w:p w14:paraId="0FD8C25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初步分析 ，导致车辆无法行驶。</w:t>
            </w:r>
          </w:p>
          <w:p w14:paraId="0B14E30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车辆基本检查</w:t>
            </w:r>
          </w:p>
          <w:p w14:paraId="275DA7E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关闭启动开关，拆下低压蓄电池负极，打开前机舱盖，穿戴好个人防护用具，检查控制单元及线束插头，有无松动、损坏等现象。</w:t>
            </w:r>
          </w:p>
          <w:p w14:paraId="04B1C57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经检查： </w:t>
            </w:r>
          </w:p>
          <w:p w14:paraId="107872A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 车辆功能检查</w:t>
            </w:r>
          </w:p>
          <w:p w14:paraId="7F209ED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空调系统工作是否正常： </w:t>
            </w:r>
          </w:p>
          <w:p w14:paraId="7BB6FC5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电动真空泵工作是否正常： </w:t>
            </w:r>
          </w:p>
          <w:p w14:paraId="5D275D8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连接充电枪，观察仪表盘显示情况： </w:t>
            </w:r>
          </w:p>
          <w:p w14:paraId="2AA7964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交流充电枪运行灯点亮情况： </w:t>
            </w:r>
          </w:p>
          <w:p w14:paraId="16DF444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能否正常充电： 工具使用规范</w:t>
            </w:r>
          </w:p>
          <w:p w14:paraId="3D589AD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新能源汽车维护与故障诊断　　　 　　 </w:t>
            </w:r>
          </w:p>
          <w:p w14:paraId="4E1D532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5.故障诊断仪读取故障码</w:t>
            </w:r>
          </w:p>
          <w:p w14:paraId="372D094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控制单元可否访问： </w:t>
            </w:r>
          </w:p>
          <w:p w14:paraId="0A62D88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有、无故障码： 故障码： </w:t>
            </w:r>
          </w:p>
          <w:p w14:paraId="04E0D92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6.查阅电路图，检查快充线路，分析故障范围</w:t>
            </w:r>
          </w:p>
          <w:p w14:paraId="3E5A0C3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7.诊断结论</w:t>
            </w:r>
          </w:p>
          <w:p w14:paraId="57584F7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综合以上检查与分析，判断故障点为： </w:t>
            </w:r>
          </w:p>
          <w:p w14:paraId="17D76CD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8.故障排除后，用故障诊断仪消除故障码，并进行如下检查</w:t>
            </w:r>
          </w:p>
          <w:p w14:paraId="5AD0001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（1）检查仪表及中控是否还有故障提示： </w:t>
            </w:r>
          </w:p>
          <w:p w14:paraId="484808C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（2）检查充电情况：</w:t>
            </w:r>
          </w:p>
          <w:p w14:paraId="42A125F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14:paraId="5F44680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宋体" w:hAnsi="宋体" w:eastAsia="宋体" w:cs="宋体"/>
                <w:b/>
                <w:szCs w:val="24"/>
              </w:rPr>
            </w:pPr>
            <w:r>
              <w:rPr>
                <w:rFonts w:hint="eastAsia" w:ascii="宋体" w:hAnsi="宋体" w:eastAsia="宋体" w:cs="宋体"/>
                <w:b/>
                <w:szCs w:val="24"/>
              </w:rPr>
              <w:t>通过教师讲解，了解快充系统故障诊断与修复（一）的基本理论知识。</w:t>
            </w:r>
          </w:p>
        </w:tc>
      </w:tr>
      <w:tr w14:paraId="52A69E03">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4F468EA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82" w:firstLineChars="200"/>
              <w:jc w:val="both"/>
              <w:textAlignment w:val="auto"/>
              <w:rPr>
                <w:rFonts w:hint="eastAsia" w:ascii="宋体" w:hAnsi="宋体" w:eastAsia="宋体" w:cs="宋体"/>
                <w:b/>
                <w:bCs w:val="0"/>
                <w:kern w:val="2"/>
                <w:sz w:val="24"/>
                <w:szCs w:val="24"/>
              </w:rPr>
            </w:pPr>
            <w:r>
              <w:rPr>
                <w:rFonts w:hint="eastAsia" w:ascii="宋体" w:hAnsi="宋体" w:eastAsia="宋体" w:cs="宋体"/>
                <w:b/>
                <w:bCs w:val="0"/>
                <w:kern w:val="2"/>
                <w:sz w:val="24"/>
                <w:szCs w:val="24"/>
                <w:lang w:val="en-US" w:eastAsia="zh-CN" w:bidi="ar"/>
              </w:rPr>
              <w:t>课堂小结</w:t>
            </w:r>
          </w:p>
          <w:p w14:paraId="27F9501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kern w:val="2"/>
                <w:sz w:val="21"/>
                <w:szCs w:val="21"/>
                <w:lang w:val="en-US" w:eastAsia="zh-CN" w:bidi="ar"/>
              </w:rPr>
              <w:t>（3min）</w:t>
            </w:r>
          </w:p>
        </w:tc>
        <w:tc>
          <w:tcPr>
            <w:tcW w:w="5807" w:type="dxa"/>
            <w:tcBorders>
              <w:top w:val="single" w:color="auto" w:sz="4" w:space="0"/>
              <w:left w:val="single" w:color="auto" w:sz="4" w:space="0"/>
              <w:bottom w:val="double" w:color="auto" w:sz="4" w:space="0"/>
              <w:right w:val="single" w:color="auto" w:sz="4" w:space="0"/>
            </w:tcBorders>
            <w:vAlign w:val="center"/>
          </w:tcPr>
          <w:p w14:paraId="09FFCB9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15E0AD1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宋体" w:hAnsi="宋体" w:eastAsia="宋体" w:cs="宋体"/>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快充系统故障诊断与修复（一），让学生知道关闭启动开关，拆下低压蓄电池负极，打开前机舱盖，穿戴好个人防护用具</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14:paraId="07242AE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506F6E46">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11F65B0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8" w:leftChars="0" w:right="0" w:rightChars="0" w:firstLine="482" w:firstLineChars="200"/>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（2min）</w:t>
            </w:r>
          </w:p>
        </w:tc>
        <w:tc>
          <w:tcPr>
            <w:tcW w:w="5807" w:type="dxa"/>
            <w:tcBorders>
              <w:top w:val="single" w:color="auto" w:sz="4" w:space="0"/>
              <w:left w:val="single" w:color="auto" w:sz="4" w:space="0"/>
              <w:bottom w:val="double" w:color="auto" w:sz="4" w:space="0"/>
              <w:right w:val="single" w:color="auto" w:sz="4" w:space="0"/>
            </w:tcBorders>
            <w:vAlign w:val="center"/>
          </w:tcPr>
          <w:p w14:paraId="5D1928B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6061E6A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宋体" w:hAnsi="宋体" w:eastAsia="宋体" w:cs="宋体"/>
                <w:bCs/>
                <w:kern w:val="2"/>
                <w:sz w:val="21"/>
                <w:szCs w:val="21"/>
                <w:lang w:val="en-US" w:eastAsia="zh-CN" w:bidi="ar-SA"/>
              </w:rPr>
            </w:pPr>
            <w:r>
              <w:rPr>
                <w:rFonts w:hint="eastAsia" w:ascii="宋体" w:hAnsi="宋体" w:eastAsia="宋体" w:cs="宋体"/>
                <w:bCs/>
                <w:kern w:val="2"/>
                <w:sz w:val="21"/>
                <w:szCs w:val="21"/>
                <w:lang w:val="en-US" w:eastAsia="zh-CN" w:bidi="ar"/>
              </w:rPr>
              <w:t>简述快充充电的方式。</w:t>
            </w:r>
          </w:p>
        </w:tc>
        <w:tc>
          <w:tcPr>
            <w:tcW w:w="1366" w:type="dxa"/>
            <w:tcBorders>
              <w:top w:val="single" w:color="auto" w:sz="4" w:space="0"/>
              <w:left w:val="single" w:color="auto" w:sz="4" w:space="0"/>
              <w:bottom w:val="double" w:color="auto" w:sz="4" w:space="0"/>
              <w:right w:val="single" w:color="auto" w:sz="4" w:space="0"/>
            </w:tcBorders>
            <w:vAlign w:val="center"/>
          </w:tcPr>
          <w:p w14:paraId="2437B6D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宋体" w:hAnsi="宋体" w:eastAsia="宋体" w:cs="宋体"/>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1E857CC5">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2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0C86982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textAlignment w:val="auto"/>
              <w:rPr>
                <w:rFonts w:hint="eastAsia" w:ascii="宋体" w:hAnsi="宋体" w:eastAsia="宋体" w:cs="宋体"/>
                <w:b/>
                <w:sz w:val="24"/>
                <w:szCs w:val="24"/>
                <w:lang w:eastAsia="zh-CN"/>
              </w:rPr>
            </w:pPr>
            <w:r>
              <w:rPr>
                <w:rFonts w:hint="eastAsia" w:ascii="宋体" w:hAnsi="宋体" w:eastAsia="宋体" w:cs="宋体"/>
                <w:b/>
                <w:sz w:val="24"/>
                <w:szCs w:val="24"/>
                <w:lang w:eastAsia="zh-CN"/>
              </w:rPr>
              <w:t>知识讲解</w:t>
            </w:r>
          </w:p>
          <w:p w14:paraId="1637E32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textAlignment w:val="auto"/>
              <w:rPr>
                <w:rFonts w:hint="eastAsia" w:ascii="宋体" w:hAnsi="宋体" w:eastAsia="宋体" w:cs="宋体"/>
                <w:b/>
                <w:szCs w:val="24"/>
              </w:rPr>
            </w:pPr>
            <w:r>
              <w:rPr>
                <w:rFonts w:hint="eastAsia" w:ascii="宋体" w:hAnsi="宋体" w:eastAsia="宋体" w:cs="宋体"/>
                <w:szCs w:val="24"/>
              </w:rPr>
              <w:t>（40min）</w:t>
            </w:r>
          </w:p>
        </w:tc>
        <w:tc>
          <w:tcPr>
            <w:tcW w:w="5807" w:type="dxa"/>
            <w:tcBorders>
              <w:top w:val="single" w:color="auto" w:sz="4" w:space="0"/>
              <w:left w:val="single" w:color="auto" w:sz="4" w:space="0"/>
              <w:bottom w:val="single" w:color="auto" w:sz="4" w:space="0"/>
              <w:right w:val="single" w:color="auto" w:sz="4" w:space="0"/>
            </w:tcBorders>
            <w:vAlign w:val="center"/>
          </w:tcPr>
          <w:p w14:paraId="63775B6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展示快充系统故障诊断与修复（二）</w:t>
            </w:r>
          </w:p>
          <w:p w14:paraId="072ACDD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一、学习效果评价</w:t>
            </w:r>
          </w:p>
          <w:p w14:paraId="5B7AC39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选择题</w:t>
            </w:r>
          </w:p>
          <w:p w14:paraId="4C313CA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（1）快充线束快充口端子 CC1 与 PE 之间有一个（　）Ω 的电阻。</w:t>
            </w:r>
          </w:p>
          <w:p w14:paraId="4B13415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 100</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B. 500</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C. 1 000</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D. 2 000</w:t>
            </w:r>
          </w:p>
          <w:p w14:paraId="5250E4D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（2）快充系统的主要部件有（　　）。</w:t>
            </w:r>
          </w:p>
          <w:p w14:paraId="60994DE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 供电设备（快充桩）B. 车载充电机</w:t>
            </w:r>
          </w:p>
          <w:p w14:paraId="01DFEEF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C. 动力电池</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D. 快充线束</w:t>
            </w:r>
          </w:p>
          <w:p w14:paraId="2282E81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E. 快充口</w:t>
            </w:r>
          </w:p>
          <w:p w14:paraId="0A578AC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（3）电动汽车对充电装置的要求有（　　）。</w:t>
            </w:r>
          </w:p>
          <w:p w14:paraId="44D6303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A. 安全</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B. 使用方便</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C. 成本经济</w:t>
            </w:r>
          </w:p>
          <w:p w14:paraId="635435C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D. 效率高</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E. 对供电电源污染要小</w:t>
            </w:r>
          </w:p>
          <w:p w14:paraId="611BB5E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技能考核</w:t>
            </w:r>
          </w:p>
          <w:p w14:paraId="4724DA7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查阅吉利 EV300 维修手册，根据其快充系统的电路原理图完成车辆检测。</w:t>
            </w:r>
          </w:p>
          <w:p w14:paraId="32ECAC0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（1）请各小组学习、思考和讨论解决问题的具体工作计划，考虑时间、工具、物料并将流程图画在下面空白处，接下来各组派出代表陈述本组的工作方案。</w:t>
            </w:r>
          </w:p>
          <w:p w14:paraId="3929FFA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工作计划流程图（可用图表和思维导图）：</w:t>
            </w:r>
          </w:p>
          <w:p w14:paraId="24D4598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（2）各小组对其他组的工作计划进行互评，教师总评，并将评语写在评价框内。</w:t>
            </w:r>
          </w:p>
          <w:p w14:paraId="4BACB97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各小组根据教师和各组的评价进行方案优化。</w:t>
            </w:r>
          </w:p>
          <w:p w14:paraId="674BC87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优化后的流程图：</w:t>
            </w:r>
          </w:p>
          <w:p w14:paraId="05D35E9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（3）各小组组长确定每一位学生的学习角色，对小组任务进行分配。组员按组长的要求完成相关任务内容，并将自己所在小组及个人任务内容填入表中。</w:t>
            </w:r>
          </w:p>
          <w:p w14:paraId="102520F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rPr>
              <w:drawing>
                <wp:inline distT="0" distB="0" distL="114300" distR="114300">
                  <wp:extent cx="2997200" cy="723900"/>
                  <wp:effectExtent l="0" t="0" r="0" b="1270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21"/>
                          <a:stretch>
                            <a:fillRect/>
                          </a:stretch>
                        </pic:blipFill>
                        <pic:spPr>
                          <a:xfrm>
                            <a:off x="0" y="0"/>
                            <a:ext cx="2997200" cy="723900"/>
                          </a:xfrm>
                          <a:prstGeom prst="rect">
                            <a:avLst/>
                          </a:prstGeom>
                          <a:noFill/>
                          <a:ln>
                            <a:noFill/>
                          </a:ln>
                        </pic:spPr>
                      </pic:pic>
                    </a:graphicData>
                  </a:graphic>
                </wp:inline>
              </w:drawing>
            </w:r>
          </w:p>
          <w:p w14:paraId="5AC67D0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（4）各小组完成学生实训记录表。</w:t>
            </w:r>
          </w:p>
          <w:p w14:paraId="21FFFC3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rPr>
              <w:drawing>
                <wp:inline distT="0" distB="0" distL="114300" distR="114300">
                  <wp:extent cx="2772410" cy="2005965"/>
                  <wp:effectExtent l="0" t="0" r="21590" b="63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22"/>
                          <a:stretch>
                            <a:fillRect/>
                          </a:stretch>
                        </pic:blipFill>
                        <pic:spPr>
                          <a:xfrm>
                            <a:off x="0" y="0"/>
                            <a:ext cx="2772410" cy="2005965"/>
                          </a:xfrm>
                          <a:prstGeom prst="rect">
                            <a:avLst/>
                          </a:prstGeom>
                          <a:noFill/>
                          <a:ln>
                            <a:noFill/>
                          </a:ln>
                        </pic:spPr>
                      </pic:pic>
                    </a:graphicData>
                  </a:graphic>
                </wp:inline>
              </w:drawing>
            </w:r>
            <w:r>
              <w:rPr>
                <w:rFonts w:hint="eastAsia" w:ascii="宋体" w:hAnsi="宋体" w:eastAsia="宋体" w:cs="宋体"/>
                <w:b w:val="0"/>
                <w:bCs/>
                <w:color w:val="000000"/>
                <w:kern w:val="2"/>
                <w:sz w:val="21"/>
                <w:szCs w:val="21"/>
                <w:lang w:val="en-US" w:eastAsia="zh-CN" w:bidi="ar"/>
              </w:rPr>
              <w:t xml:space="preserve">　　　 </w:t>
            </w:r>
          </w:p>
          <w:p w14:paraId="3CB371C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二、学习过程评价</w:t>
            </w:r>
          </w:p>
          <w:p w14:paraId="00FA89A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请进行必要的最终检查和“6S”管理</w:t>
            </w:r>
          </w:p>
          <w:p w14:paraId="05EF8B4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请根据实施过程进行总结并完善改进工作计划</w:t>
            </w:r>
          </w:p>
          <w:p w14:paraId="7B29E58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总结内容和改进工作计划：</w:t>
            </w:r>
          </w:p>
          <w:p w14:paraId="5A1DB4D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学生填写自评表</w:t>
            </w:r>
          </w:p>
          <w:p w14:paraId="4323C2C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要求每一个小组派代表上讲台讲述小组的学习成果和经验收获。</w:t>
            </w:r>
          </w:p>
          <w:p w14:paraId="1FF81D1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课堂小组经验分享记录：</w:t>
            </w:r>
          </w:p>
          <w:p w14:paraId="7D77885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 教师填写总评表及教师评价结果</w:t>
            </w:r>
          </w:p>
          <w:p w14:paraId="5E39501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教师评价结果记录：</w:t>
            </w:r>
          </w:p>
          <w:p w14:paraId="5D54ACF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14:paraId="05A468B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宋体" w:hAnsi="宋体" w:eastAsia="宋体" w:cs="宋体"/>
                <w:b/>
                <w:szCs w:val="24"/>
              </w:rPr>
            </w:pPr>
            <w:r>
              <w:rPr>
                <w:rFonts w:hint="eastAsia" w:ascii="宋体" w:hAnsi="宋体" w:eastAsia="宋体" w:cs="宋体"/>
                <w:b/>
                <w:szCs w:val="24"/>
              </w:rPr>
              <w:t>通过教师讲解，了解快充系统故障诊断与修复（</w:t>
            </w:r>
            <w:r>
              <w:rPr>
                <w:rFonts w:hint="eastAsia" w:ascii="宋体" w:hAnsi="宋体" w:eastAsia="宋体" w:cs="宋体"/>
                <w:b/>
                <w:szCs w:val="24"/>
                <w:lang w:val="en-US" w:eastAsia="zh-CN"/>
              </w:rPr>
              <w:t>二</w:t>
            </w:r>
            <w:r>
              <w:rPr>
                <w:rFonts w:hint="eastAsia" w:ascii="宋体" w:hAnsi="宋体" w:eastAsia="宋体" w:cs="宋体"/>
                <w:b/>
                <w:szCs w:val="24"/>
              </w:rPr>
              <w:t>）的基本理论知识。</w:t>
            </w:r>
          </w:p>
        </w:tc>
      </w:tr>
      <w:tr w14:paraId="1E5EC5A2">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5F5E87A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bCs w:val="0"/>
                <w:kern w:val="2"/>
                <w:sz w:val="24"/>
                <w:szCs w:val="24"/>
              </w:rPr>
            </w:pPr>
            <w:r>
              <w:rPr>
                <w:rFonts w:hint="eastAsia" w:ascii="宋体" w:hAnsi="宋体" w:eastAsia="宋体" w:cs="宋体"/>
                <w:b/>
                <w:bCs w:val="0"/>
                <w:kern w:val="2"/>
                <w:sz w:val="24"/>
                <w:szCs w:val="24"/>
                <w:lang w:val="en-US" w:eastAsia="zh-CN" w:bidi="ar"/>
              </w:rPr>
              <w:t>课堂小结</w:t>
            </w:r>
          </w:p>
          <w:p w14:paraId="411F5E7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rightChars="0"/>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kern w:val="2"/>
                <w:sz w:val="21"/>
                <w:szCs w:val="21"/>
                <w:lang w:val="en-US" w:eastAsia="zh-CN" w:bidi="ar"/>
              </w:rPr>
              <w:t>（3min）</w:t>
            </w:r>
          </w:p>
        </w:tc>
        <w:tc>
          <w:tcPr>
            <w:tcW w:w="5807" w:type="dxa"/>
            <w:tcBorders>
              <w:top w:val="single" w:color="auto" w:sz="4" w:space="0"/>
              <w:left w:val="single" w:color="auto" w:sz="4" w:space="0"/>
              <w:bottom w:val="double" w:color="auto" w:sz="4" w:space="0"/>
              <w:right w:val="single" w:color="auto" w:sz="4" w:space="0"/>
            </w:tcBorders>
            <w:vAlign w:val="center"/>
          </w:tcPr>
          <w:p w14:paraId="3A67AAE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64E1F11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宋体" w:hAnsi="宋体" w:eastAsia="宋体" w:cs="宋体"/>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快充系统故障诊断与修复（二），让学生知道查阅吉利 EV300 维修手册，根据其快充系统的电路原理图完成车辆检测。</w:t>
            </w:r>
          </w:p>
        </w:tc>
        <w:tc>
          <w:tcPr>
            <w:tcW w:w="1366" w:type="dxa"/>
            <w:tcBorders>
              <w:top w:val="single" w:color="auto" w:sz="4" w:space="0"/>
              <w:left w:val="single" w:color="auto" w:sz="4" w:space="0"/>
              <w:bottom w:val="double" w:color="auto" w:sz="4" w:space="0"/>
              <w:right w:val="single" w:color="auto" w:sz="4" w:space="0"/>
            </w:tcBorders>
            <w:vAlign w:val="center"/>
          </w:tcPr>
          <w:p w14:paraId="4C84EC4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48825E95">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4D6153C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rightChars="0"/>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（2min）</w:t>
            </w:r>
          </w:p>
        </w:tc>
        <w:tc>
          <w:tcPr>
            <w:tcW w:w="5807" w:type="dxa"/>
            <w:tcBorders>
              <w:top w:val="single" w:color="auto" w:sz="4" w:space="0"/>
              <w:left w:val="single" w:color="auto" w:sz="4" w:space="0"/>
              <w:bottom w:val="double" w:color="auto" w:sz="4" w:space="0"/>
              <w:right w:val="single" w:color="auto" w:sz="4" w:space="0"/>
            </w:tcBorders>
            <w:vAlign w:val="center"/>
          </w:tcPr>
          <w:p w14:paraId="4CC924A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24CC239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宋体" w:hAnsi="宋体" w:eastAsia="宋体" w:cs="宋体"/>
                <w:bCs/>
                <w:kern w:val="2"/>
                <w:sz w:val="21"/>
                <w:szCs w:val="21"/>
                <w:lang w:val="en-US" w:eastAsia="zh-CN" w:bidi="ar-SA"/>
              </w:rPr>
            </w:pPr>
            <w:r>
              <w:rPr>
                <w:rFonts w:hint="eastAsia" w:ascii="宋体" w:hAnsi="宋体" w:eastAsia="宋体" w:cs="宋体"/>
                <w:bCs/>
                <w:kern w:val="2"/>
                <w:sz w:val="21"/>
                <w:szCs w:val="21"/>
                <w:lang w:val="en-US" w:eastAsia="zh-CN" w:bidi="ar"/>
              </w:rPr>
              <w:t>简述电动汽车对充电装置的要求。</w:t>
            </w:r>
          </w:p>
        </w:tc>
        <w:tc>
          <w:tcPr>
            <w:tcW w:w="1366" w:type="dxa"/>
            <w:tcBorders>
              <w:top w:val="single" w:color="auto" w:sz="4" w:space="0"/>
              <w:left w:val="single" w:color="auto" w:sz="4" w:space="0"/>
              <w:bottom w:val="double" w:color="auto" w:sz="4" w:space="0"/>
              <w:right w:val="single" w:color="auto" w:sz="4" w:space="0"/>
            </w:tcBorders>
            <w:vAlign w:val="center"/>
          </w:tcPr>
          <w:p w14:paraId="087698C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宋体" w:hAnsi="宋体" w:eastAsia="宋体" w:cs="宋体"/>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5E01BA80">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2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68117A4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textAlignment w:val="auto"/>
              <w:rPr>
                <w:rFonts w:hint="eastAsia" w:ascii="宋体" w:hAnsi="宋体" w:eastAsia="宋体" w:cs="宋体"/>
                <w:b/>
                <w:sz w:val="24"/>
                <w:szCs w:val="24"/>
                <w:lang w:eastAsia="zh-CN"/>
              </w:rPr>
            </w:pPr>
            <w:r>
              <w:rPr>
                <w:rFonts w:hint="eastAsia" w:ascii="宋体" w:hAnsi="宋体" w:eastAsia="宋体" w:cs="宋体"/>
                <w:b/>
                <w:sz w:val="24"/>
                <w:szCs w:val="24"/>
                <w:lang w:eastAsia="zh-CN"/>
              </w:rPr>
              <w:t>知识讲解</w:t>
            </w:r>
          </w:p>
          <w:p w14:paraId="4B92A88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textAlignment w:val="auto"/>
              <w:rPr>
                <w:rFonts w:hint="eastAsia" w:ascii="宋体" w:hAnsi="宋体" w:eastAsia="宋体" w:cs="宋体"/>
                <w:b/>
                <w:szCs w:val="24"/>
              </w:rPr>
            </w:pPr>
            <w:r>
              <w:rPr>
                <w:rFonts w:hint="eastAsia" w:ascii="宋体" w:hAnsi="宋体" w:eastAsia="宋体" w:cs="宋体"/>
                <w:szCs w:val="24"/>
              </w:rPr>
              <w:t>（40min）</w:t>
            </w:r>
          </w:p>
        </w:tc>
        <w:tc>
          <w:tcPr>
            <w:tcW w:w="5807" w:type="dxa"/>
            <w:tcBorders>
              <w:top w:val="single" w:color="auto" w:sz="4" w:space="0"/>
              <w:left w:val="single" w:color="auto" w:sz="4" w:space="0"/>
              <w:bottom w:val="single" w:color="auto" w:sz="4" w:space="0"/>
              <w:right w:val="single" w:color="auto" w:sz="4" w:space="0"/>
            </w:tcBorders>
            <w:vAlign w:val="center"/>
          </w:tcPr>
          <w:p w14:paraId="4C5FA69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展示快充系统故障诊断与修复（三）</w:t>
            </w:r>
          </w:p>
          <w:p w14:paraId="171457D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42" w:firstLineChars="200"/>
              <w:jc w:val="both"/>
              <w:textAlignment w:val="auto"/>
              <w:rPr>
                <w:rFonts w:hint="eastAsia" w:ascii="宋体" w:hAnsi="宋体" w:eastAsia="宋体" w:cs="宋体"/>
                <w:b/>
                <w:bCs/>
                <w:color w:val="000000" w:themeColor="text1"/>
                <w:sz w:val="22"/>
                <w:szCs w:val="24"/>
                <w14:textFill>
                  <w14:solidFill>
                    <w14:schemeClr w14:val="tx1"/>
                  </w14:solidFill>
                </w14:textFill>
              </w:rPr>
            </w:pPr>
            <w:r>
              <w:rPr>
                <w:rFonts w:hint="eastAsia" w:ascii="宋体" w:hAnsi="宋体" w:eastAsia="宋体" w:cs="宋体"/>
                <w:b/>
                <w:bCs/>
                <w:color w:val="000000" w:themeColor="text1"/>
                <w:sz w:val="22"/>
                <w:szCs w:val="24"/>
                <w14:textFill>
                  <w14:solidFill>
                    <w14:schemeClr w14:val="tx1"/>
                  </w14:solidFill>
                </w14:textFill>
              </w:rPr>
              <w:t>一、快充系统的结构组成</w:t>
            </w:r>
          </w:p>
          <w:p w14:paraId="4702D9F9">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快速充电也称为直流充电或应急充电。其充电方式主要是通过地面充电装置（直流充电桩）将交流电网电能（380V）转化为直流电后通过充电连接器对电动汽车进行充电。其特点为充电功率大、充电时间短，但充电设备成本高。</w:t>
            </w:r>
          </w:p>
          <w:p w14:paraId="31B4BB19">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电动汽车快速充电系统主要由直流充电口</w:t>
            </w:r>
            <w:r>
              <w:rPr>
                <w:rFonts w:hint="eastAsia" w:ascii="宋体" w:hAnsi="宋体" w:eastAsia="宋体" w:cs="宋体"/>
                <w:color w:val="000000" w:themeColor="text1"/>
                <w:sz w:val="21"/>
                <w:szCs w:val="24"/>
                <w:lang w:eastAsia="zh-CN"/>
                <w14:textFill>
                  <w14:solidFill>
                    <w14:schemeClr w14:val="tx1"/>
                  </w14:solidFill>
                </w14:textFill>
              </w:rPr>
              <w:t>、</w:t>
            </w:r>
            <w:r>
              <w:rPr>
                <w:rFonts w:hint="eastAsia" w:ascii="宋体" w:hAnsi="宋体" w:eastAsia="宋体" w:cs="宋体"/>
                <w:color w:val="000000" w:themeColor="text1"/>
                <w:sz w:val="21"/>
                <w:szCs w:val="24"/>
                <w14:textFill>
                  <w14:solidFill>
                    <w14:schemeClr w14:val="tx1"/>
                  </w14:solidFill>
                </w14:textFill>
              </w:rPr>
              <w:t>充配电总成（或无）、动力电池组、高压线束等组成。</w:t>
            </w:r>
          </w:p>
          <w:p w14:paraId="1C8CB8D5">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b/>
                <w:bCs/>
                <w:color w:val="000000" w:themeColor="text1"/>
                <w:kern w:val="2"/>
                <w:sz w:val="21"/>
                <w:szCs w:val="21"/>
                <w:lang w:val="en-US" w:eastAsia="zh-CN" w:bidi="ar"/>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随着电动汽车产业的快速发展，派生出了新兴产业——电动汽车充电站。充电站承担着为电动汽车动力电池提供电能的重要使命。高质量、多功能的充电设备可以有效保护电池，监控电池工作状态，并为电池组提供高效充电方案。</w:t>
            </w:r>
          </w:p>
          <w:p w14:paraId="0015E0D0">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1. 供电设备—快充桩</w:t>
            </w:r>
          </w:p>
          <w:p w14:paraId="70E41750">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充电桩功能类似于加油站里面的加油机，可以固定在地面或墙壁，有分体式、便携式、壁挂式和一体式等几种形式，安装于公共建筑（公共楼宇、商场、公共停车场等）和居民小区停车场或充电站内，根据不同的电压等级为各种型号的电动汽车充电。</w:t>
            </w:r>
          </w:p>
          <w:p w14:paraId="526D24CB">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充电桩一般提供常规充电和快速充电两种充电方式，可以使用特定的充电卡在充电桩提供的人机交互操作界面上刷卡使用，进行相应的充电方式、充电时间、费用数据打印等设置，充电桩显示屏能显示充电量、费用、充电时间等数据。</w:t>
            </w:r>
          </w:p>
          <w:p w14:paraId="0AE0910C">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2. 快充口</w:t>
            </w:r>
          </w:p>
          <w:p w14:paraId="2C9DA43A">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快充口一般位于发动机舱盖前方车标内部，用于与充电线连接，如图5 - 2 - 4 所示。</w:t>
            </w:r>
          </w:p>
          <w:p w14:paraId="68916F37">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当快充口盖板打开时，仪表充电指示灯应常亮；当关闭快充口盖板时，仪表充电指示灯应熄灭。如果快充口盖板出现问题，车辆无法正常起动。</w:t>
            </w:r>
          </w:p>
          <w:p w14:paraId="34FC65CD">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3. 快充线束</w:t>
            </w:r>
          </w:p>
          <w:p w14:paraId="004352B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快充线束是连接快充口到动力电池之间的线束。</w:t>
            </w:r>
          </w:p>
          <w:p w14:paraId="61249FE9">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（1）接动力电池的高压线束BV23 端子定义如下。</w:t>
            </w:r>
          </w:p>
          <w:p w14:paraId="148A5BC5">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1 脚：高压输出正极DC + 。</w:t>
            </w:r>
          </w:p>
          <w:p w14:paraId="362F5E73">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2 脚：高压输出负极DC - 。</w:t>
            </w:r>
          </w:p>
          <w:p w14:paraId="62DADE78">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（2）低压线束BV21 端子定义如下。</w:t>
            </w:r>
          </w:p>
          <w:p w14:paraId="26BEA729">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1 脚：空。</w:t>
            </w:r>
          </w:p>
          <w:p w14:paraId="07A72D3B">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2 脚：快充连接确认线CC2。</w:t>
            </w:r>
          </w:p>
          <w:p w14:paraId="427C290A">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3 脚：快充CAN -H 信号S+ 。</w:t>
            </w:r>
          </w:p>
          <w:p w14:paraId="6BE1118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4 脚：快充CAN -L 信号S- 。</w:t>
            </w:r>
          </w:p>
          <w:p w14:paraId="7B019315">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5 脚：低压辅助电源正极A+ 。</w:t>
            </w:r>
          </w:p>
          <w:p w14:paraId="5A6A285A">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6 脚：低压辅助电源负极A- 。</w:t>
            </w:r>
          </w:p>
          <w:p w14:paraId="7367653E">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7 脚：空。</w:t>
            </w:r>
          </w:p>
          <w:p w14:paraId="5ABDEEF3">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8 脚：温度传感器正极。</w:t>
            </w:r>
          </w:p>
          <w:p w14:paraId="351C042E">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9 脚：温度传感器负极。</w:t>
            </w:r>
          </w:p>
          <w:p w14:paraId="4261A2E2">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10 脚：空。</w:t>
            </w:r>
          </w:p>
          <w:p w14:paraId="602D6097">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11 脚：温度传感器正极。</w:t>
            </w:r>
          </w:p>
          <w:p w14:paraId="61D22A86">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12 脚：温度传感器负极。</w:t>
            </w:r>
          </w:p>
          <w:p w14:paraId="2BDA8FE3">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（3）快充线束快充口端子定义如图5-2-7 所示。与交流慢充相比省去了车载充电机，充电口有9 个端子。</w:t>
            </w:r>
          </w:p>
          <w:p w14:paraId="38118F72">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14:textFill>
                  <w14:solidFill>
                    <w14:schemeClr w14:val="tx1"/>
                  </w14:solidFill>
                </w14:textFill>
              </w:rPr>
              <w:drawing>
                <wp:inline distT="0" distB="0" distL="114300" distR="114300">
                  <wp:extent cx="3019425" cy="2638425"/>
                  <wp:effectExtent l="0" t="0" r="9525" b="9525"/>
                  <wp:docPr id="24"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6"/>
                          <pic:cNvPicPr>
                            <a:picLocks noChangeAspect="1"/>
                          </pic:cNvPicPr>
                        </pic:nvPicPr>
                        <pic:blipFill>
                          <a:blip r:embed="rId23"/>
                          <a:stretch>
                            <a:fillRect/>
                          </a:stretch>
                        </pic:blipFill>
                        <pic:spPr>
                          <a:xfrm>
                            <a:off x="0" y="0"/>
                            <a:ext cx="3019425" cy="2638425"/>
                          </a:xfrm>
                          <a:prstGeom prst="rect">
                            <a:avLst/>
                          </a:prstGeom>
                          <a:noFill/>
                          <a:ln>
                            <a:noFill/>
                          </a:ln>
                        </pic:spPr>
                      </pic:pic>
                    </a:graphicData>
                  </a:graphic>
                </wp:inline>
              </w:drawing>
            </w:r>
            <w:r>
              <w:rPr>
                <w:rFonts w:hint="eastAsia" w:ascii="宋体" w:hAnsi="宋体" w:eastAsia="宋体" w:cs="宋体"/>
                <w:color w:val="000000" w:themeColor="text1"/>
                <w:sz w:val="21"/>
                <w:szCs w:val="24"/>
                <w14:textFill>
                  <w14:solidFill>
                    <w14:schemeClr w14:val="tx1"/>
                  </w14:solidFill>
                </w14:textFill>
              </w:rPr>
              <w:t>快充线束快充口端子定义如下：</w:t>
            </w:r>
          </w:p>
          <w:p w14:paraId="1CD81DAE">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DC - ：高压输出负极，输出到动力电池高压负极。</w:t>
            </w:r>
          </w:p>
          <w:p w14:paraId="07ED9FEC">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DC + ：高压输出正极，输出到动力电池高压正极。</w:t>
            </w:r>
          </w:p>
          <w:p w14:paraId="5EBB07E2">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PE（GND）：车身搭铁，接蓄电池负极。</w:t>
            </w:r>
          </w:p>
          <w:p w14:paraId="2E3C1B9F">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A - ：低压辅助电源负极，接蓄电池负极。</w:t>
            </w:r>
          </w:p>
          <w:p w14:paraId="436C0280">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A + ：低压辅助电源正极。</w:t>
            </w:r>
          </w:p>
          <w:p w14:paraId="17CD030C">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CC1：快充连接确认线，属内部电路，CC1 与PE 之间有一个1 000Ω 的电阻。</w:t>
            </w:r>
          </w:p>
          <w:p w14:paraId="5B63B576">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CC2：快充连接确认线。</w:t>
            </w:r>
          </w:p>
          <w:p w14:paraId="3C704851">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S + ；快充CAN - H。</w:t>
            </w:r>
          </w:p>
          <w:p w14:paraId="3C50DB46">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S - ：快充CAN - L。</w:t>
            </w:r>
          </w:p>
          <w:p w14:paraId="6038B98B">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注意事项：纯电动汽车上的高压线束为橘黄色，低压线束为黑色，操作时禁止随意触碰高压线束。部件各端口定义中的针脚标号如S + 、S - 、A + 、A - 等在线束和插件上都有标注。</w:t>
            </w:r>
          </w:p>
          <w:p w14:paraId="76F5F0E0">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40" w:firstLineChars="200"/>
              <w:jc w:val="both"/>
              <w:textAlignment w:val="auto"/>
              <w:rPr>
                <w:rFonts w:hint="eastAsia" w:ascii="宋体" w:hAnsi="宋体" w:eastAsia="宋体" w:cs="宋体"/>
                <w:color w:val="000000" w:themeColor="text1"/>
                <w:sz w:val="22"/>
                <w:szCs w:val="24"/>
                <w14:textFill>
                  <w14:solidFill>
                    <w14:schemeClr w14:val="tx1"/>
                  </w14:solidFill>
                </w14:textFill>
              </w:rPr>
            </w:pPr>
            <w:r>
              <w:rPr>
                <w:rFonts w:hint="eastAsia" w:ascii="宋体" w:hAnsi="宋体" w:eastAsia="宋体" w:cs="宋体"/>
                <w:color w:val="000000" w:themeColor="text1"/>
                <w:sz w:val="22"/>
                <w:szCs w:val="24"/>
                <w14:textFill>
                  <w14:solidFill>
                    <w14:schemeClr w14:val="tx1"/>
                  </w14:solidFill>
                </w14:textFill>
              </w:rPr>
              <w:t>二、快充系统的工作原理</w:t>
            </w:r>
          </w:p>
          <w:p w14:paraId="5DC8F00A">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由于电网中的380V 交流电无法直接对动力电池直接输入，所以在快充过程中输入电动汽车的高压高质量直流电需要经过直流充电桩的转换整流。直流充电桩由整流装置、直流输入控制装置、直流输出控制装置和直流充电管理装置组成，其系统框图如图5 - 2 - 8 所示。</w:t>
            </w:r>
          </w:p>
          <w:p w14:paraId="2B8B257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color w:val="000000" w:themeColor="text1"/>
                <w14:textFill>
                  <w14:solidFill>
                    <w14:schemeClr w14:val="tx1"/>
                  </w14:solidFill>
                </w14:textFill>
              </w:rPr>
            </w:pPr>
            <w:r>
              <w:rPr>
                <w:rFonts w:hint="eastAsia" w:ascii="宋体" w:hAnsi="宋体" w:eastAsia="宋体" w:cs="宋体"/>
                <w:color w:val="000000" w:themeColor="text1"/>
                <w14:textFill>
                  <w14:solidFill>
                    <w14:schemeClr w14:val="tx1"/>
                  </w14:solidFill>
                </w14:textFill>
              </w:rPr>
              <w:drawing>
                <wp:inline distT="0" distB="0" distL="114300" distR="114300">
                  <wp:extent cx="3546475" cy="1206500"/>
                  <wp:effectExtent l="0" t="0" r="15875" b="12700"/>
                  <wp:docPr id="25"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7"/>
                          <pic:cNvPicPr>
                            <a:picLocks noChangeAspect="1"/>
                          </pic:cNvPicPr>
                        </pic:nvPicPr>
                        <pic:blipFill>
                          <a:blip r:embed="rId24"/>
                          <a:stretch>
                            <a:fillRect/>
                          </a:stretch>
                        </pic:blipFill>
                        <pic:spPr>
                          <a:xfrm>
                            <a:off x="0" y="0"/>
                            <a:ext cx="3546475" cy="1206500"/>
                          </a:xfrm>
                          <a:prstGeom prst="rect">
                            <a:avLst/>
                          </a:prstGeom>
                          <a:noFill/>
                          <a:ln>
                            <a:noFill/>
                          </a:ln>
                        </pic:spPr>
                      </pic:pic>
                    </a:graphicData>
                  </a:graphic>
                </wp:inline>
              </w:drawing>
            </w:r>
          </w:p>
          <w:p w14:paraId="4C7C520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color w:val="000000" w:themeColor="text1"/>
                <w14:textFill>
                  <w14:solidFill>
                    <w14:schemeClr w14:val="tx1"/>
                  </w14:solidFill>
                </w14:textFill>
              </w:rPr>
            </w:pPr>
          </w:p>
          <w:p w14:paraId="2202083B">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如整车处于ON 挡有高压时，需先进行高压断电后再进行充电。当快充系统充电设备接口连接到整车快充系统充电口，快充系统充电设备发送充电唤醒信号给BMS，BMS 根据动力电池的可充电功率，向快充系统充电设备发送充电指令。</w:t>
            </w:r>
          </w:p>
          <w:p w14:paraId="6C27E87C">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交流电经过电表进入直流充电桩，充电桩与车辆通信成功后，直流充电桩将交流高压电转化为直流高压电直接向动力电池充电。图5-2-9所示为快充系统工作原理。</w:t>
            </w:r>
          </w:p>
          <w:p w14:paraId="2A36C02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14:textFill>
                  <w14:solidFill>
                    <w14:schemeClr w14:val="tx1"/>
                  </w14:solidFill>
                </w14:textFill>
              </w:rPr>
              <w:drawing>
                <wp:inline distT="0" distB="0" distL="114300" distR="114300">
                  <wp:extent cx="3546475" cy="2640965"/>
                  <wp:effectExtent l="0" t="0" r="15875" b="6985"/>
                  <wp:docPr id="26"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8"/>
                          <pic:cNvPicPr>
                            <a:picLocks noChangeAspect="1"/>
                          </pic:cNvPicPr>
                        </pic:nvPicPr>
                        <pic:blipFill>
                          <a:blip r:embed="rId25"/>
                          <a:stretch>
                            <a:fillRect/>
                          </a:stretch>
                        </pic:blipFill>
                        <pic:spPr>
                          <a:xfrm>
                            <a:off x="0" y="0"/>
                            <a:ext cx="3546475" cy="2640965"/>
                          </a:xfrm>
                          <a:prstGeom prst="rect">
                            <a:avLst/>
                          </a:prstGeom>
                          <a:noFill/>
                          <a:ln>
                            <a:noFill/>
                          </a:ln>
                        </pic:spPr>
                      </pic:pic>
                    </a:graphicData>
                  </a:graphic>
                </wp:inline>
              </w:drawing>
            </w:r>
          </w:p>
          <w:p w14:paraId="6FBDDF92">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结合动力电池相关知识以及快充原理图可以得出，快充系统完成正常充电需要满足以下条件。</w:t>
            </w:r>
          </w:p>
          <w:p w14:paraId="558DC956">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（1）充电连接确认信号CC1、CC2 正常。</w:t>
            </w:r>
          </w:p>
          <w:p w14:paraId="69D5468A">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（2）BMS 供电电源12V 正常。</w:t>
            </w:r>
          </w:p>
          <w:p w14:paraId="77DD53F8">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（3）充电唤醒信号l2V 输出正常。</w:t>
            </w:r>
          </w:p>
          <w:p w14:paraId="0B5E6CB0">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（4）充电桩、整车控制器、BMS 之间通信正常。</w:t>
            </w:r>
          </w:p>
          <w:p w14:paraId="6FEF28C7">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（5）动力电池电芯温度大于5℃，小于45℃。</w:t>
            </w:r>
          </w:p>
          <w:p w14:paraId="11F71C57">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（6）动力电池单体电压的最高与最低电压压差小于300mV。</w:t>
            </w:r>
          </w:p>
          <w:p w14:paraId="7D0C90B8">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（7）单体电池最高温度与最低温度差小于15℃。</w:t>
            </w:r>
          </w:p>
          <w:p w14:paraId="139D2C71">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（8）绝缘性能大于500Ω/V。</w:t>
            </w:r>
          </w:p>
          <w:p w14:paraId="2242C0AB">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（9）实际单体最高电压不大于额定单体电压0.4V。</w:t>
            </w:r>
          </w:p>
          <w:p w14:paraId="6E23338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color w:val="000000" w:themeColor="text1"/>
                <w:sz w:val="21"/>
                <w:szCs w:val="24"/>
                <w:lang w:val="en-US" w:eastAsia="zh-CN"/>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（10）高、低压电路连接正常（远程开关关闭状态）。</w:t>
            </w:r>
          </w:p>
          <w:p w14:paraId="64BBDF6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color w:val="000000" w:themeColor="text1"/>
                <w:szCs w:val="24"/>
                <w14:textFill>
                  <w14:solidFill>
                    <w14:schemeClr w14:val="tx1"/>
                  </w14:solidFill>
                </w14:textFill>
              </w:rPr>
            </w:pPr>
            <w:r>
              <w:rPr>
                <w:rFonts w:hint="eastAsia" w:ascii="宋体" w:hAnsi="宋体" w:eastAsia="宋体" w:cs="宋体"/>
                <w:b w:val="0"/>
                <w:bCs w:val="0"/>
                <w:color w:val="92D050"/>
                <w:kern w:val="2"/>
                <w:sz w:val="21"/>
                <w:szCs w:val="21"/>
                <w:lang w:val="en-US" w:eastAsia="zh-CN" w:bidi="ar"/>
              </w:rPr>
              <w:t>【学生】思考、讨论。</w:t>
            </w:r>
          </w:p>
        </w:tc>
        <w:tc>
          <w:tcPr>
            <w:tcW w:w="1366" w:type="dxa"/>
            <w:tcBorders>
              <w:top w:val="single" w:color="auto" w:sz="4" w:space="0"/>
              <w:left w:val="single" w:color="auto" w:sz="4" w:space="0"/>
              <w:bottom w:val="single" w:color="auto" w:sz="4" w:space="0"/>
              <w:right w:val="single" w:color="auto" w:sz="4" w:space="0"/>
            </w:tcBorders>
            <w:vAlign w:val="center"/>
          </w:tcPr>
          <w:p w14:paraId="7296053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宋体" w:hAnsi="宋体" w:eastAsia="宋体" w:cs="宋体"/>
                <w:b/>
                <w:szCs w:val="24"/>
              </w:rPr>
            </w:pPr>
            <w:r>
              <w:rPr>
                <w:rFonts w:hint="eastAsia" w:ascii="宋体" w:hAnsi="宋体" w:eastAsia="宋体" w:cs="宋体"/>
                <w:b/>
                <w:szCs w:val="24"/>
              </w:rPr>
              <w:t>通过教师讲解，了解快充系统故障诊断与修复（三）的基本理论知识。</w:t>
            </w:r>
          </w:p>
        </w:tc>
      </w:tr>
      <w:tr w14:paraId="4906E400">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2B7B5CA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bCs w:val="0"/>
                <w:kern w:val="2"/>
                <w:sz w:val="24"/>
                <w:szCs w:val="24"/>
              </w:rPr>
            </w:pPr>
            <w:r>
              <w:rPr>
                <w:rFonts w:hint="eastAsia" w:ascii="宋体" w:hAnsi="宋体" w:eastAsia="宋体" w:cs="宋体"/>
                <w:b/>
                <w:bCs w:val="0"/>
                <w:kern w:val="2"/>
                <w:sz w:val="24"/>
                <w:szCs w:val="24"/>
                <w:lang w:val="en-US" w:eastAsia="zh-CN" w:bidi="ar"/>
              </w:rPr>
              <w:t>课堂小结</w:t>
            </w:r>
          </w:p>
          <w:p w14:paraId="0D8E941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rightChars="0"/>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kern w:val="2"/>
                <w:sz w:val="21"/>
                <w:szCs w:val="21"/>
                <w:lang w:val="en-US" w:eastAsia="zh-CN" w:bidi="ar"/>
              </w:rPr>
              <w:t>（3min）</w:t>
            </w:r>
          </w:p>
        </w:tc>
        <w:tc>
          <w:tcPr>
            <w:tcW w:w="5807" w:type="dxa"/>
            <w:tcBorders>
              <w:top w:val="single" w:color="auto" w:sz="4" w:space="0"/>
              <w:left w:val="single" w:color="auto" w:sz="4" w:space="0"/>
              <w:bottom w:val="double" w:color="auto" w:sz="4" w:space="0"/>
              <w:right w:val="single" w:color="auto" w:sz="4" w:space="0"/>
            </w:tcBorders>
            <w:vAlign w:val="center"/>
          </w:tcPr>
          <w:p w14:paraId="113676F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color w:val="000000" w:themeColor="text1"/>
                <w:kern w:val="2"/>
                <w:sz w:val="21"/>
                <w:szCs w:val="21"/>
                <w14:textFill>
                  <w14:solidFill>
                    <w14:schemeClr w14:val="tx1"/>
                  </w14:solidFill>
                </w14:textFill>
              </w:rPr>
            </w:pPr>
            <w:r>
              <w:rPr>
                <w:rFonts w:hint="eastAsia" w:ascii="宋体" w:hAnsi="宋体" w:eastAsia="宋体" w:cs="宋体"/>
                <w:color w:val="000000" w:themeColor="text1"/>
                <w:kern w:val="2"/>
                <w:sz w:val="21"/>
                <w:szCs w:val="21"/>
                <w:lang w:val="en-US" w:eastAsia="zh-CN" w:bidi="ar"/>
                <w14:textFill>
                  <w14:solidFill>
                    <w14:schemeClr w14:val="tx1"/>
                  </w14:solidFill>
                </w14:textFill>
              </w:rPr>
              <w:t>【</w:t>
            </w:r>
            <w:r>
              <w:rPr>
                <w:rFonts w:hint="eastAsia" w:ascii="宋体" w:hAnsi="宋体" w:eastAsia="宋体" w:cs="宋体"/>
                <w:b/>
                <w:bCs w:val="0"/>
                <w:color w:val="000000" w:themeColor="text1"/>
                <w:kern w:val="2"/>
                <w:sz w:val="21"/>
                <w:szCs w:val="21"/>
                <w:lang w:val="en-US" w:eastAsia="zh-CN" w:bidi="ar"/>
                <w14:textFill>
                  <w14:solidFill>
                    <w14:schemeClr w14:val="tx1"/>
                  </w14:solidFill>
                </w14:textFill>
              </w:rPr>
              <w:t>教师</w:t>
            </w:r>
            <w:r>
              <w:rPr>
                <w:rFonts w:hint="eastAsia" w:ascii="宋体" w:hAnsi="宋体" w:eastAsia="宋体" w:cs="宋体"/>
                <w:color w:val="000000" w:themeColor="text1"/>
                <w:kern w:val="2"/>
                <w:sz w:val="21"/>
                <w:szCs w:val="21"/>
                <w:lang w:val="en-US" w:eastAsia="zh-CN" w:bidi="ar"/>
                <w14:textFill>
                  <w14:solidFill>
                    <w14:schemeClr w14:val="tx1"/>
                  </w14:solidFill>
                </w14:textFill>
              </w:rPr>
              <w:t>】</w:t>
            </w:r>
            <w:r>
              <w:rPr>
                <w:rFonts w:hint="eastAsia" w:ascii="宋体" w:hAnsi="宋体" w:eastAsia="宋体" w:cs="宋体"/>
                <w:b/>
                <w:bCs w:val="0"/>
                <w:color w:val="000000" w:themeColor="text1"/>
                <w:kern w:val="2"/>
                <w:sz w:val="21"/>
                <w:szCs w:val="21"/>
                <w:lang w:val="en-US" w:eastAsia="zh-CN" w:bidi="ar"/>
                <w14:textFill>
                  <w14:solidFill>
                    <w14:schemeClr w14:val="tx1"/>
                  </w14:solidFill>
                </w14:textFill>
              </w:rPr>
              <w:t>回顾和总结本节课的知识点。</w:t>
            </w:r>
          </w:p>
          <w:p w14:paraId="3C8E243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宋体" w:hAnsi="宋体" w:eastAsia="宋体" w:cs="宋体"/>
                <w:b/>
                <w:bCs w:val="0"/>
                <w:color w:val="000000" w:themeColor="text1"/>
                <w:kern w:val="2"/>
                <w:sz w:val="21"/>
                <w:szCs w:val="21"/>
                <w:lang w:val="en-US" w:eastAsia="zh-CN" w:bidi="ar-SA"/>
                <w14:textFill>
                  <w14:solidFill>
                    <w14:schemeClr w14:val="tx1"/>
                  </w14:solidFill>
                </w14:textFill>
              </w:rPr>
            </w:pPr>
            <w:r>
              <w:rPr>
                <w:rFonts w:hint="eastAsia" w:ascii="宋体" w:hAnsi="宋体" w:eastAsia="宋体" w:cs="宋体"/>
                <w:b/>
                <w:bCs w:val="0"/>
                <w:color w:val="000000" w:themeColor="text1"/>
                <w:kern w:val="2"/>
                <w:sz w:val="21"/>
                <w:szCs w:val="21"/>
                <w:lang w:val="en-US" w:eastAsia="zh-CN" w:bidi="ar"/>
                <w14:textFill>
                  <w14:solidFill>
                    <w14:schemeClr w14:val="tx1"/>
                  </w14:solidFill>
                </w14:textFill>
              </w:rPr>
              <w:t>这节课我们一起学习了</w:t>
            </w:r>
            <w:r>
              <w:rPr>
                <w:rFonts w:hint="eastAsia" w:ascii="宋体" w:hAnsi="宋体" w:eastAsia="宋体" w:cs="宋体"/>
                <w:b/>
                <w:bCs w:val="0"/>
                <w:color w:val="000000" w:themeColor="text1"/>
                <w:kern w:val="0"/>
                <w:sz w:val="21"/>
                <w:szCs w:val="21"/>
                <w:lang w:val="en-US" w:eastAsia="zh-CN" w:bidi="ar"/>
                <w14:textFill>
                  <w14:solidFill>
                    <w14:schemeClr w14:val="tx1"/>
                  </w14:solidFill>
                </w14:textFill>
              </w:rPr>
              <w:t>快充系统故障诊断与修复（三），让学生了解了电动汽车的快充的基本构造和工作原理。</w:t>
            </w:r>
          </w:p>
        </w:tc>
        <w:tc>
          <w:tcPr>
            <w:tcW w:w="1366" w:type="dxa"/>
            <w:tcBorders>
              <w:top w:val="single" w:color="auto" w:sz="4" w:space="0"/>
              <w:left w:val="single" w:color="auto" w:sz="4" w:space="0"/>
              <w:bottom w:val="double" w:color="auto" w:sz="4" w:space="0"/>
              <w:right w:val="single" w:color="auto" w:sz="4" w:space="0"/>
            </w:tcBorders>
            <w:vAlign w:val="center"/>
          </w:tcPr>
          <w:p w14:paraId="0E3C3E2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691A3A48">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6D33820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rightChars="0"/>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（2min）</w:t>
            </w:r>
          </w:p>
        </w:tc>
        <w:tc>
          <w:tcPr>
            <w:tcW w:w="5807" w:type="dxa"/>
            <w:tcBorders>
              <w:top w:val="single" w:color="auto" w:sz="4" w:space="0"/>
              <w:left w:val="single" w:color="auto" w:sz="4" w:space="0"/>
              <w:bottom w:val="double" w:color="auto" w:sz="4" w:space="0"/>
              <w:right w:val="single" w:color="auto" w:sz="4" w:space="0"/>
            </w:tcBorders>
            <w:vAlign w:val="center"/>
          </w:tcPr>
          <w:p w14:paraId="345D008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val="0"/>
                <w:bCs/>
                <w:color w:val="000000" w:themeColor="text1"/>
                <w:kern w:val="2"/>
                <w:sz w:val="21"/>
                <w:szCs w:val="21"/>
                <w14:textFill>
                  <w14:solidFill>
                    <w14:schemeClr w14:val="tx1"/>
                  </w14:solidFill>
                </w14:textFill>
              </w:rPr>
            </w:pPr>
            <w:r>
              <w:rPr>
                <w:rFonts w:hint="eastAsia" w:ascii="宋体" w:hAnsi="宋体" w:eastAsia="宋体" w:cs="宋体"/>
                <w:b/>
                <w:bCs w:val="0"/>
                <w:color w:val="000000" w:themeColor="text1"/>
                <w:kern w:val="2"/>
                <w:sz w:val="21"/>
                <w:szCs w:val="21"/>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1"/>
                <w:szCs w:val="21"/>
                <w:lang w:val="en-US" w:eastAsia="zh-CN" w:bidi="ar"/>
                <w14:textFill>
                  <w14:solidFill>
                    <w14:schemeClr w14:val="tx1"/>
                  </w14:solidFill>
                </w14:textFill>
              </w:rPr>
              <w:t>布置课后作业</w:t>
            </w:r>
          </w:p>
          <w:p w14:paraId="34522F4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宋体" w:hAnsi="宋体" w:eastAsia="宋体" w:cs="宋体"/>
                <w:bCs/>
                <w:color w:val="000000" w:themeColor="text1"/>
                <w:kern w:val="2"/>
                <w:sz w:val="21"/>
                <w:szCs w:val="21"/>
                <w:lang w:val="en-US" w:eastAsia="zh-CN" w:bidi="ar-SA"/>
                <w14:textFill>
                  <w14:solidFill>
                    <w14:schemeClr w14:val="tx1"/>
                  </w14:solidFill>
                </w14:textFill>
              </w:rPr>
            </w:pPr>
            <w:r>
              <w:rPr>
                <w:rFonts w:hint="eastAsia" w:ascii="宋体" w:hAnsi="宋体" w:eastAsia="宋体" w:cs="宋体"/>
                <w:bCs/>
                <w:color w:val="000000" w:themeColor="text1"/>
                <w:kern w:val="2"/>
                <w:sz w:val="21"/>
                <w:szCs w:val="21"/>
                <w:lang w:val="en-US" w:eastAsia="zh-CN" w:bidi="ar"/>
                <w14:textFill>
                  <w14:solidFill>
                    <w14:schemeClr w14:val="tx1"/>
                  </w14:solidFill>
                </w14:textFill>
              </w:rPr>
              <w:t>简述快充的基本工作原理。</w:t>
            </w:r>
          </w:p>
        </w:tc>
        <w:tc>
          <w:tcPr>
            <w:tcW w:w="1366" w:type="dxa"/>
            <w:tcBorders>
              <w:top w:val="single" w:color="auto" w:sz="4" w:space="0"/>
              <w:left w:val="single" w:color="auto" w:sz="4" w:space="0"/>
              <w:bottom w:val="double" w:color="auto" w:sz="4" w:space="0"/>
              <w:right w:val="single" w:color="auto" w:sz="4" w:space="0"/>
            </w:tcBorders>
            <w:vAlign w:val="center"/>
          </w:tcPr>
          <w:p w14:paraId="5096DC3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宋体" w:hAnsi="宋体" w:eastAsia="宋体" w:cs="宋体"/>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6AF35A57">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2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2BF3C20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textAlignment w:val="auto"/>
              <w:rPr>
                <w:rFonts w:hint="eastAsia" w:ascii="宋体" w:hAnsi="宋体" w:eastAsia="宋体" w:cs="宋体"/>
                <w:b/>
                <w:sz w:val="24"/>
                <w:szCs w:val="24"/>
                <w:lang w:eastAsia="zh-CN"/>
              </w:rPr>
            </w:pPr>
            <w:r>
              <w:rPr>
                <w:rFonts w:hint="eastAsia" w:ascii="宋体" w:hAnsi="宋体" w:eastAsia="宋体" w:cs="宋体"/>
                <w:b/>
                <w:sz w:val="24"/>
                <w:szCs w:val="24"/>
                <w:lang w:eastAsia="zh-CN"/>
              </w:rPr>
              <w:t>知识讲解</w:t>
            </w:r>
          </w:p>
          <w:p w14:paraId="7145E57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textAlignment w:val="auto"/>
              <w:rPr>
                <w:rFonts w:hint="eastAsia" w:ascii="宋体" w:hAnsi="宋体" w:eastAsia="宋体" w:cs="宋体"/>
                <w:b/>
                <w:szCs w:val="24"/>
              </w:rPr>
            </w:pPr>
            <w:r>
              <w:rPr>
                <w:rFonts w:hint="eastAsia" w:ascii="宋体" w:hAnsi="宋体" w:eastAsia="宋体" w:cs="宋体"/>
                <w:szCs w:val="24"/>
              </w:rPr>
              <w:t>（40min）</w:t>
            </w:r>
          </w:p>
        </w:tc>
        <w:tc>
          <w:tcPr>
            <w:tcW w:w="5807" w:type="dxa"/>
            <w:tcBorders>
              <w:top w:val="single" w:color="auto" w:sz="4" w:space="0"/>
              <w:left w:val="single" w:color="auto" w:sz="4" w:space="0"/>
              <w:bottom w:val="single" w:color="auto" w:sz="4" w:space="0"/>
              <w:right w:val="single" w:color="auto" w:sz="4" w:space="0"/>
            </w:tcBorders>
            <w:vAlign w:val="center"/>
          </w:tcPr>
          <w:p w14:paraId="1A7233B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C00000"/>
                <w:kern w:val="2"/>
                <w:sz w:val="21"/>
                <w:szCs w:val="21"/>
                <w:lang w:val="en-US" w:eastAsia="zh-CN" w:bidi="ar"/>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展示快充系统故障诊断与修复（四）</w:t>
            </w:r>
          </w:p>
          <w:p w14:paraId="5243FDE3">
            <w:pPr>
              <w:keepNext w:val="0"/>
              <w:keepLines w:val="0"/>
              <w:pageBreakBefore w:val="0"/>
              <w:widowControl w:val="0"/>
              <w:numPr>
                <w:ilvl w:val="0"/>
                <w:numId w:val="3"/>
              </w:numPr>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firstLine="442" w:firstLineChars="200"/>
              <w:jc w:val="both"/>
              <w:textAlignment w:val="auto"/>
              <w:rPr>
                <w:rFonts w:hint="eastAsia" w:ascii="宋体" w:hAnsi="宋体" w:eastAsia="宋体" w:cs="宋体"/>
                <w:b/>
                <w:bCs/>
                <w:color w:val="000000" w:themeColor="text1"/>
                <w:sz w:val="22"/>
                <w:szCs w:val="24"/>
                <w14:textFill>
                  <w14:solidFill>
                    <w14:schemeClr w14:val="tx1"/>
                  </w14:solidFill>
                </w14:textFill>
              </w:rPr>
            </w:pPr>
            <w:r>
              <w:rPr>
                <w:rFonts w:hint="eastAsia" w:ascii="宋体" w:hAnsi="宋体" w:eastAsia="宋体" w:cs="宋体"/>
                <w:b/>
                <w:bCs/>
                <w:color w:val="000000" w:themeColor="text1"/>
                <w:sz w:val="22"/>
                <w:szCs w:val="24"/>
                <w14:textFill>
                  <w14:solidFill>
                    <w14:schemeClr w14:val="tx1"/>
                  </w14:solidFill>
                </w14:textFill>
              </w:rPr>
              <w:t>快充系统常见故障排除</w:t>
            </w:r>
          </w:p>
          <w:p w14:paraId="26909A16">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1. 常见故障</w:t>
            </w:r>
          </w:p>
          <w:p w14:paraId="4512A129">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（1）快充桩与车辆无法通信。</w:t>
            </w:r>
          </w:p>
          <w:p w14:paraId="343F73A8">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主要原因有唤醒线路熔丝损坏，搭铁点搭铁不良，快充枪、快充口、快充线束、低压电器盒、整车控制器、动力电池低压控制插件等部件的低压辅助电源针脚、连接确认针、快充CAN 针脚等损坏，退针、烧蚀、锈蚀，动力电池和数据采集终端快充CAN 总线间的电阻不符合。</w:t>
            </w:r>
          </w:p>
          <w:p w14:paraId="41D1D617">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（2）快充桩与车辆通信正常但无充电电流。主要原因有高压控制盒快充继电器线路熔丝损坏、主熔丝损坏、低压电器盒损坏、高压控制盒损坏、快充线束损坏、动力电池BMS 快充唤醒失常。</w:t>
            </w:r>
          </w:p>
          <w:p w14:paraId="721775C6">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2. 故障排除思路</w:t>
            </w:r>
          </w:p>
          <w:p w14:paraId="7761F801">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排除快充桩与车辆无法通信故障，首先检查线路连接情况，然后检查快充系统各部件低压辅助电源、连接确认信号、快充CAN 线路等的针脚情况以及电压、电阻等是否符合要求。排除快充桩与车辆通信正常但无充电电流故障时，应检查高压供电线路的熔丝、线束、继电器等有无问题，检查动力电池BMS 快充唤醒信号是否正常，检查快充连接端子电压是否正常。</w:t>
            </w:r>
          </w:p>
          <w:p w14:paraId="54FC163E">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3. 快充桩与车辆无法通信的故障排除</w:t>
            </w:r>
          </w:p>
          <w:p w14:paraId="1D9CBF6D">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以某电动车为例，通过图5-2-9 检修快充桩与车辆无法通信的故障思路如下（1）检查快充桩与快充口连接是否良好；检查车辆快充口各连接端子有无损坏；快充口和快充枪有无烧蚀和锈蚀现象；快充口PE 端与车身搭铁是否导通（标准阻值为0.5Ω 以下）；快充口CC1 与PE 之间的阻值是否符合要求，阻值应为（1000±50）Ω。</w:t>
            </w:r>
          </w:p>
          <w:p w14:paraId="202209C1">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（2）检测充电唤醒信号是否正常，如未唤醒可能是唤醒线路熔丝损坏、快充口及快充线束损坏、低压电器盒损坏，应逐步检查熔丝电阻、熔丝电压（12V）；快充口A + 与快充线束A + 、低压电器盒是否导通，如不导通，更换或维修。</w:t>
            </w:r>
          </w:p>
          <w:p w14:paraId="68D1F4D3">
            <w:pPr>
              <w:keepNext w:val="0"/>
              <w:keepLines w:val="0"/>
              <w:pageBreakBefore w:val="0"/>
              <w:widowControl w:val="0"/>
              <w:suppressLineNumbers w:val="0"/>
              <w:kinsoku/>
              <w:overflowPunct/>
              <w:topLinePunct w:val="0"/>
              <w:bidi w:val="0"/>
              <w:adjustRightInd/>
              <w:snapToGrid/>
              <w:spacing w:before="0" w:beforeLines="0" w:beforeAutospacing="0" w:after="0" w:afterLines="0" w:afterAutospacing="0" w:line="240" w:lineRule="auto"/>
              <w:ind w:left="0" w:right="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r>
              <w:rPr>
                <w:rFonts w:hint="eastAsia" w:ascii="宋体" w:hAnsi="宋体" w:eastAsia="宋体" w:cs="宋体"/>
                <w:color w:val="000000" w:themeColor="text1"/>
                <w:sz w:val="21"/>
                <w:szCs w:val="24"/>
                <w14:textFill>
                  <w14:solidFill>
                    <w14:schemeClr w14:val="tx1"/>
                  </w14:solidFill>
                </w14:textFill>
              </w:rPr>
              <w:t>（3）检查车辆端连接确认信号是否正常，如快充唤醒信号及相关线束都正常，车辆仍不能通信连接，则对车辆端连接确认信号进行检测。</w:t>
            </w:r>
          </w:p>
          <w:p w14:paraId="25488404">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right="0" w:rightChars="0" w:firstLine="420" w:firstLineChars="200"/>
              <w:jc w:val="both"/>
              <w:textAlignment w:val="auto"/>
              <w:rPr>
                <w:rFonts w:hint="eastAsia" w:ascii="宋体" w:hAnsi="宋体" w:eastAsia="宋体" w:cs="宋体"/>
                <w:color w:val="000000" w:themeColor="text1"/>
                <w:sz w:val="21"/>
                <w:szCs w:val="24"/>
                <w14:textFill>
                  <w14:solidFill>
                    <w14:schemeClr w14:val="tx1"/>
                  </w14:solidFill>
                </w14:textFill>
              </w:rPr>
            </w:pPr>
          </w:p>
          <w:p w14:paraId="64AF766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color w:val="000000" w:themeColor="text1"/>
                <w:szCs w:val="24"/>
                <w14:textFill>
                  <w14:solidFill>
                    <w14:schemeClr w14:val="tx1"/>
                  </w14:solidFill>
                </w14:textFill>
              </w:rPr>
            </w:pPr>
            <w:r>
              <w:rPr>
                <w:rFonts w:hint="eastAsia" w:ascii="宋体" w:hAnsi="宋体" w:eastAsia="宋体" w:cs="宋体"/>
                <w:b/>
                <w:bCs/>
                <w:color w:val="92D050"/>
                <w:kern w:val="2"/>
                <w:sz w:val="21"/>
                <w:szCs w:val="21"/>
                <w:lang w:val="en-US" w:eastAsia="zh-CN" w:bidi="ar"/>
              </w:rPr>
              <w:t>【学生】</w:t>
            </w:r>
            <w:r>
              <w:rPr>
                <w:rFonts w:hint="eastAsia" w:ascii="宋体" w:hAnsi="宋体" w:eastAsia="宋体" w:cs="宋体"/>
                <w:color w:val="92D050"/>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14:paraId="47C0384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宋体" w:hAnsi="宋体" w:eastAsia="宋体" w:cs="宋体"/>
                <w:b/>
                <w:szCs w:val="24"/>
              </w:rPr>
            </w:pPr>
            <w:r>
              <w:rPr>
                <w:rFonts w:hint="eastAsia" w:ascii="宋体" w:hAnsi="宋体" w:eastAsia="宋体" w:cs="宋体"/>
                <w:b/>
                <w:szCs w:val="24"/>
              </w:rPr>
              <w:t>通过教师讲解，了解快充系统故障诊断与修复（</w:t>
            </w:r>
            <w:r>
              <w:rPr>
                <w:rFonts w:hint="eastAsia" w:ascii="宋体" w:hAnsi="宋体" w:eastAsia="宋体" w:cs="宋体"/>
                <w:b/>
                <w:szCs w:val="24"/>
                <w:lang w:val="en-US" w:eastAsia="zh-CN"/>
              </w:rPr>
              <w:t>四</w:t>
            </w:r>
            <w:r>
              <w:rPr>
                <w:rFonts w:hint="eastAsia" w:ascii="宋体" w:hAnsi="宋体" w:eastAsia="宋体" w:cs="宋体"/>
                <w:b/>
                <w:szCs w:val="24"/>
              </w:rPr>
              <w:t>）的基本理论知识。</w:t>
            </w:r>
          </w:p>
        </w:tc>
      </w:tr>
      <w:tr w14:paraId="2E780662">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14A7A5A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宋体" w:hAnsi="宋体" w:eastAsia="宋体" w:cs="宋体"/>
                <w:b/>
                <w:bCs w:val="0"/>
                <w:kern w:val="2"/>
                <w:sz w:val="24"/>
                <w:szCs w:val="24"/>
              </w:rPr>
            </w:pPr>
            <w:r>
              <w:rPr>
                <w:rFonts w:hint="eastAsia" w:ascii="宋体" w:hAnsi="宋体" w:eastAsia="宋体" w:cs="宋体"/>
                <w:b/>
                <w:bCs w:val="0"/>
                <w:kern w:val="2"/>
                <w:sz w:val="24"/>
                <w:szCs w:val="24"/>
                <w:lang w:val="en-US" w:eastAsia="zh-CN" w:bidi="ar"/>
              </w:rPr>
              <w:t>课堂小结</w:t>
            </w:r>
          </w:p>
          <w:p w14:paraId="27AE05B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kern w:val="2"/>
                <w:sz w:val="21"/>
                <w:szCs w:val="21"/>
                <w:lang w:val="en-US" w:eastAsia="zh-CN" w:bidi="ar"/>
              </w:rPr>
              <w:t>（3min）</w:t>
            </w:r>
          </w:p>
        </w:tc>
        <w:tc>
          <w:tcPr>
            <w:tcW w:w="5807" w:type="dxa"/>
            <w:tcBorders>
              <w:top w:val="single" w:color="auto" w:sz="4" w:space="0"/>
              <w:left w:val="single" w:color="auto" w:sz="4" w:space="0"/>
              <w:bottom w:val="double" w:color="auto" w:sz="4" w:space="0"/>
              <w:right w:val="single" w:color="auto" w:sz="4" w:space="0"/>
            </w:tcBorders>
            <w:vAlign w:val="center"/>
          </w:tcPr>
          <w:p w14:paraId="2133D54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0A5D1B4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宋体" w:hAnsi="宋体" w:eastAsia="宋体" w:cs="宋体"/>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快充系统故障诊断与修复（四），让学生</w:t>
            </w:r>
            <w:r>
              <w:rPr>
                <w:rFonts w:hint="eastAsia" w:ascii="宋体" w:hAnsi="宋体" w:cs="宋体"/>
                <w:b/>
                <w:bCs w:val="0"/>
                <w:kern w:val="0"/>
                <w:sz w:val="21"/>
                <w:szCs w:val="21"/>
                <w:lang w:val="en-US" w:eastAsia="zh-CN" w:bidi="ar"/>
              </w:rPr>
              <w:t>了解了电动汽车快充的故障种类和排查方法</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14:paraId="5EEDDD0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001C2776">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1FA99C9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宋体" w:hAnsi="宋体" w:eastAsia="宋体" w:cs="宋体"/>
                <w:kern w:val="2"/>
                <w:sz w:val="21"/>
                <w:szCs w:val="21"/>
                <w:lang w:val="en-US" w:eastAsia="zh-CN" w:bidi="ar-SA"/>
              </w:rPr>
            </w:pPr>
            <w:r>
              <w:rPr>
                <w:rFonts w:hint="eastAsia" w:ascii="宋体" w:hAnsi="宋体" w:eastAsia="宋体" w:cs="宋体"/>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（2min）</w:t>
            </w:r>
          </w:p>
        </w:tc>
        <w:tc>
          <w:tcPr>
            <w:tcW w:w="5807" w:type="dxa"/>
            <w:tcBorders>
              <w:top w:val="single" w:color="auto" w:sz="4" w:space="0"/>
              <w:left w:val="single" w:color="auto" w:sz="4" w:space="0"/>
              <w:bottom w:val="double" w:color="auto" w:sz="4" w:space="0"/>
              <w:right w:val="single" w:color="auto" w:sz="4" w:space="0"/>
            </w:tcBorders>
            <w:vAlign w:val="center"/>
          </w:tcPr>
          <w:p w14:paraId="1C39A97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044F9B7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宋体" w:hAnsi="宋体" w:eastAsia="宋体" w:cs="宋体"/>
                <w:bCs/>
                <w:kern w:val="2"/>
                <w:sz w:val="21"/>
                <w:szCs w:val="21"/>
                <w:lang w:val="en-US" w:eastAsia="zh-CN" w:bidi="ar-SA"/>
              </w:rPr>
            </w:pPr>
            <w:r>
              <w:rPr>
                <w:rFonts w:hint="eastAsia" w:ascii="宋体" w:hAnsi="宋体" w:cs="宋体"/>
                <w:bCs/>
                <w:kern w:val="2"/>
                <w:sz w:val="21"/>
                <w:szCs w:val="21"/>
                <w:lang w:val="en-US" w:eastAsia="zh-CN" w:bidi="ar"/>
              </w:rPr>
              <w:t>对于汽车快充，你还有哪些快充方式</w:t>
            </w:r>
            <w:r>
              <w:rPr>
                <w:rFonts w:hint="eastAsia" w:ascii="宋体" w:hAnsi="宋体" w:eastAsia="宋体" w:cs="宋体"/>
                <w:bCs/>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14:paraId="6FDEAE8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宋体" w:hAnsi="宋体" w:eastAsia="宋体" w:cs="宋体"/>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bl>
    <w:p w14:paraId="285323AB">
      <w:bookmarkStart w:id="0" w:name="_GoBack"/>
      <w:bookmarkEnd w:id="0"/>
    </w:p>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方正宋黑_GBK">
    <w:panose1 w:val="03000509000000000000"/>
    <w:charset w:val="86"/>
    <w:family w:val="script"/>
    <w:pitch w:val="default"/>
    <w:sig w:usb0="00000001" w:usb1="080E0000" w:usb2="00000000" w:usb3="00000000" w:csb0="00040000" w:csb1="00000000"/>
  </w:font>
  <w:font w:name="Calibri Light">
    <w:panose1 w:val="020F0302020204030204"/>
    <w:charset w:val="00"/>
    <w:family w:val="swiss"/>
    <w:pitch w:val="default"/>
    <w:sig w:usb0="E4002EFF" w:usb1="C0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PinYinok">
    <w:altName w:val="Segoe Print"/>
    <w:panose1 w:val="020B0603050302020204"/>
    <w:charset w:val="00"/>
    <w:family w:val="swiss"/>
    <w:pitch w:val="default"/>
    <w:sig w:usb0="00000000" w:usb1="00000000" w:usb2="00000000" w:usb3="00000000" w:csb0="000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8BCB880"/>
    <w:multiLevelType w:val="singleLevel"/>
    <w:tmpl w:val="A8BCB880"/>
    <w:lvl w:ilvl="0" w:tentative="0">
      <w:start w:val="2"/>
      <w:numFmt w:val="chineseCounting"/>
      <w:suff w:val="nothing"/>
      <w:lvlText w:val="%1、"/>
      <w:lvlJc w:val="left"/>
      <w:rPr>
        <w:rFonts w:hint="eastAsia"/>
      </w:rPr>
    </w:lvl>
  </w:abstractNum>
  <w:abstractNum w:abstractNumId="1">
    <w:nsid w:val="E068FAF2"/>
    <w:multiLevelType w:val="singleLevel"/>
    <w:tmpl w:val="E068FAF2"/>
    <w:lvl w:ilvl="0" w:tentative="0">
      <w:start w:val="4"/>
      <w:numFmt w:val="chineseCounting"/>
      <w:suff w:val="nothing"/>
      <w:lvlText w:val="%1、"/>
      <w:lvlJc w:val="left"/>
      <w:rPr>
        <w:rFonts w:hint="eastAsia"/>
      </w:rPr>
    </w:lvl>
  </w:abstractNum>
  <w:abstractNum w:abstractNumId="2">
    <w:nsid w:val="0835D4DC"/>
    <w:multiLevelType w:val="singleLevel"/>
    <w:tmpl w:val="0835D4DC"/>
    <w:lvl w:ilvl="0" w:tentative="0">
      <w:start w:val="1"/>
      <w:numFmt w:val="decimal"/>
      <w:suff w:val="space"/>
      <w:lvlText w:val="%1."/>
      <w:lvlJc w:val="left"/>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60"/>
  <w:bordersDoNotSurroundHeader w:val="0"/>
  <w:bordersDoNotSurroundFooter w:val="0"/>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jE3MGMyZDMzOGIyMGUyMDk5Mjg3MWUzODcxN2RkNTQifQ=="/>
  </w:docVars>
  <w:rsids>
    <w:rsidRoot w:val="00172A27"/>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AC91BFE"/>
    <w:rsid w:val="12EC698D"/>
    <w:rsid w:val="16674055"/>
    <w:rsid w:val="1B7E29BC"/>
    <w:rsid w:val="2D617875"/>
    <w:rsid w:val="2F6E73AD"/>
    <w:rsid w:val="33087E30"/>
    <w:rsid w:val="36432B8E"/>
    <w:rsid w:val="3FDF52F0"/>
    <w:rsid w:val="436C72A2"/>
    <w:rsid w:val="44B33A23"/>
    <w:rsid w:val="55B55FDB"/>
    <w:rsid w:val="55BF35C6"/>
    <w:rsid w:val="5A456DB8"/>
    <w:rsid w:val="690A0478"/>
    <w:rsid w:val="6DAF8801"/>
    <w:rsid w:val="6E7F9038"/>
    <w:rsid w:val="6EFF2889"/>
    <w:rsid w:val="6FAA7178"/>
    <w:rsid w:val="710650F2"/>
    <w:rsid w:val="76FE0FF8"/>
    <w:rsid w:val="76FF072E"/>
    <w:rsid w:val="7BFF4B86"/>
    <w:rsid w:val="7FFBB9A9"/>
    <w:rsid w:val="E5FD20F1"/>
    <w:rsid w:val="EB9BAD13"/>
    <w:rsid w:val="F37FF34E"/>
    <w:rsid w:val="FBFD899D"/>
    <w:rsid w:val="FDDFBDBD"/>
    <w:rsid w:val="FFFCE10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3"/>
    <w:basedOn w:val="1"/>
    <w:next w:val="1"/>
    <w:link w:val="29"/>
    <w:autoRedefine/>
    <w:semiHidden/>
    <w:unhideWhenUsed/>
    <w:qFormat/>
    <w:uiPriority w:val="9"/>
    <w:pPr>
      <w:keepNext/>
      <w:keepLines/>
      <w:spacing w:before="260" w:after="260" w:line="416" w:lineRule="auto"/>
      <w:outlineLvl w:val="2"/>
    </w:pPr>
    <w:rPr>
      <w:b/>
      <w:bCs/>
      <w:sz w:val="32"/>
      <w:szCs w:val="32"/>
    </w:rPr>
  </w:style>
  <w:style w:type="paragraph" w:styleId="3">
    <w:name w:val="heading 4"/>
    <w:basedOn w:val="1"/>
    <w:next w:val="1"/>
    <w:link w:val="22"/>
    <w:qFormat/>
    <w:uiPriority w:val="0"/>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4">
    <w:name w:val="heading 5"/>
    <w:basedOn w:val="1"/>
    <w:next w:val="1"/>
    <w:link w:val="24"/>
    <w:autoRedefine/>
    <w:semiHidden/>
    <w:unhideWhenUsed/>
    <w:qFormat/>
    <w:uiPriority w:val="9"/>
    <w:pPr>
      <w:keepNext/>
      <w:keepLines/>
      <w:spacing w:before="280" w:after="290" w:line="376" w:lineRule="auto"/>
      <w:outlineLvl w:val="4"/>
    </w:pPr>
    <w:rPr>
      <w:b/>
      <w:bCs/>
      <w:sz w:val="28"/>
      <w:szCs w:val="28"/>
    </w:rPr>
  </w:style>
  <w:style w:type="paragraph" w:styleId="5">
    <w:name w:val="heading 6"/>
    <w:basedOn w:val="1"/>
    <w:next w:val="1"/>
    <w:link w:val="25"/>
    <w:autoRedefine/>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1">
    <w:name w:val="Default Paragraph Font"/>
    <w:autoRedefine/>
    <w:semiHidden/>
    <w:unhideWhenUsed/>
    <w:qFormat/>
    <w:uiPriority w:val="1"/>
  </w:style>
  <w:style w:type="table" w:default="1" w:styleId="9">
    <w:name w:val="Normal Table"/>
    <w:autoRedefin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6">
    <w:name w:val="caption"/>
    <w:basedOn w:val="1"/>
    <w:next w:val="1"/>
    <w:link w:val="27"/>
    <w:unhideWhenUsed/>
    <w:qFormat/>
    <w:uiPriority w:val="0"/>
    <w:rPr>
      <w:rFonts w:eastAsia="黑体" w:asciiTheme="majorHAnsi" w:hAnsiTheme="majorHAnsi" w:cstheme="majorBidi"/>
      <w:sz w:val="20"/>
      <w:szCs w:val="20"/>
    </w:rPr>
  </w:style>
  <w:style w:type="paragraph" w:styleId="7">
    <w:name w:val="footer"/>
    <w:basedOn w:val="1"/>
    <w:link w:val="18"/>
    <w:autoRedefine/>
    <w:unhideWhenUsed/>
    <w:qFormat/>
    <w:uiPriority w:val="99"/>
    <w:pPr>
      <w:tabs>
        <w:tab w:val="center" w:pos="4153"/>
        <w:tab w:val="right" w:pos="8306"/>
      </w:tabs>
      <w:snapToGrid w:val="0"/>
      <w:jc w:val="left"/>
    </w:pPr>
    <w:rPr>
      <w:sz w:val="18"/>
      <w:szCs w:val="18"/>
    </w:rPr>
  </w:style>
  <w:style w:type="paragraph" w:styleId="8">
    <w:name w:val="header"/>
    <w:basedOn w:val="1"/>
    <w:link w:val="17"/>
    <w:autoRedefine/>
    <w:unhideWhenUsed/>
    <w:qFormat/>
    <w:uiPriority w:val="99"/>
    <w:pPr>
      <w:pBdr>
        <w:bottom w:val="single" w:color="auto" w:sz="6" w:space="1"/>
      </w:pBdr>
      <w:tabs>
        <w:tab w:val="center" w:pos="4153"/>
        <w:tab w:val="right" w:pos="8306"/>
      </w:tabs>
      <w:snapToGrid w:val="0"/>
      <w:jc w:val="center"/>
    </w:pPr>
    <w:rPr>
      <w:sz w:val="18"/>
      <w:szCs w:val="18"/>
    </w:rPr>
  </w:style>
  <w:style w:type="table" w:styleId="10">
    <w:name w:val="Table Grid"/>
    <w:basedOn w:val="9"/>
    <w:autoRedefine/>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2">
    <w:name w:val="Heading #2|1"/>
    <w:basedOn w:val="1"/>
    <w:autoRedefine/>
    <w:qFormat/>
    <w:uiPriority w:val="0"/>
    <w:pPr>
      <w:spacing w:after="640"/>
      <w:jc w:val="center"/>
      <w:outlineLvl w:val="1"/>
    </w:pPr>
    <w:rPr>
      <w:rFonts w:ascii="宋体" w:hAnsi="宋体" w:cs="宋体"/>
      <w:color w:val="EC008D"/>
      <w:sz w:val="30"/>
      <w:szCs w:val="30"/>
      <w:lang w:val="zh-TW" w:eastAsia="zh-TW" w:bidi="zh-TW"/>
    </w:rPr>
  </w:style>
  <w:style w:type="paragraph" w:customStyle="1" w:styleId="13">
    <w:name w:val="Heading #3|1"/>
    <w:basedOn w:val="1"/>
    <w:link w:val="14"/>
    <w:autoRedefine/>
    <w:qFormat/>
    <w:uiPriority w:val="0"/>
    <w:pPr>
      <w:spacing w:after="160"/>
      <w:outlineLvl w:val="2"/>
    </w:pPr>
    <w:rPr>
      <w:rFonts w:ascii="宋体" w:hAnsi="宋体" w:cs="宋体"/>
      <w:color w:val="EC008D"/>
      <w:sz w:val="20"/>
      <w:szCs w:val="20"/>
      <w:lang w:val="zh-TW" w:eastAsia="zh-TW" w:bidi="zh-TW"/>
    </w:rPr>
  </w:style>
  <w:style w:type="character" w:customStyle="1" w:styleId="14">
    <w:name w:val="Heading #3|1 Char"/>
    <w:link w:val="13"/>
    <w:autoRedefine/>
    <w:qFormat/>
    <w:uiPriority w:val="0"/>
    <w:rPr>
      <w:rFonts w:ascii="宋体" w:hAnsi="宋体" w:eastAsia="宋体" w:cs="宋体"/>
      <w:color w:val="EC008D"/>
      <w:sz w:val="20"/>
      <w:szCs w:val="20"/>
      <w:lang w:val="zh-TW" w:eastAsia="zh-TW" w:bidi="zh-TW"/>
    </w:rPr>
  </w:style>
  <w:style w:type="paragraph" w:customStyle="1" w:styleId="15">
    <w:name w:val="Body text|1"/>
    <w:basedOn w:val="1"/>
    <w:link w:val="16"/>
    <w:autoRedefine/>
    <w:unhideWhenUsed/>
    <w:qFormat/>
    <w:uiPriority w:val="0"/>
    <w:pPr>
      <w:spacing w:line="360" w:lineRule="auto"/>
      <w:ind w:firstLine="400"/>
    </w:pPr>
    <w:rPr>
      <w:rFonts w:ascii="宋体" w:hAnsi="宋体" w:cs="宋体"/>
      <w:sz w:val="20"/>
      <w:szCs w:val="20"/>
      <w:lang w:val="zh-TW" w:eastAsia="zh-TW" w:bidi="zh-TW"/>
    </w:rPr>
  </w:style>
  <w:style w:type="character" w:customStyle="1" w:styleId="16">
    <w:name w:val="Body text|1 Char"/>
    <w:link w:val="15"/>
    <w:autoRedefine/>
    <w:qFormat/>
    <w:uiPriority w:val="0"/>
    <w:rPr>
      <w:rFonts w:ascii="宋体" w:hAnsi="宋体" w:eastAsia="宋体" w:cs="宋体"/>
      <w:sz w:val="20"/>
      <w:szCs w:val="20"/>
      <w:lang w:val="zh-TW" w:eastAsia="zh-TW" w:bidi="zh-TW"/>
    </w:rPr>
  </w:style>
  <w:style w:type="character" w:customStyle="1" w:styleId="17">
    <w:name w:val="页眉 Char"/>
    <w:basedOn w:val="11"/>
    <w:link w:val="8"/>
    <w:autoRedefine/>
    <w:qFormat/>
    <w:uiPriority w:val="99"/>
    <w:rPr>
      <w:rFonts w:ascii="Calibri" w:hAnsi="Calibri" w:eastAsia="宋体" w:cs="Times New Roman"/>
      <w:sz w:val="18"/>
      <w:szCs w:val="18"/>
    </w:rPr>
  </w:style>
  <w:style w:type="character" w:customStyle="1" w:styleId="18">
    <w:name w:val="页脚 Char"/>
    <w:basedOn w:val="11"/>
    <w:link w:val="7"/>
    <w:autoRedefine/>
    <w:qFormat/>
    <w:uiPriority w:val="99"/>
    <w:rPr>
      <w:rFonts w:ascii="Calibri" w:hAnsi="Calibri" w:eastAsia="宋体" w:cs="Times New Roman"/>
      <w:sz w:val="18"/>
      <w:szCs w:val="18"/>
    </w:rPr>
  </w:style>
  <w:style w:type="paragraph" w:styleId="19">
    <w:name w:val="List Paragraph"/>
    <w:basedOn w:val="1"/>
    <w:autoRedefine/>
    <w:qFormat/>
    <w:uiPriority w:val="34"/>
    <w:pPr>
      <w:ind w:firstLine="420" w:firstLineChars="200"/>
    </w:pPr>
  </w:style>
  <w:style w:type="paragraph" w:customStyle="1" w:styleId="20">
    <w:name w:val="知识拓展内容"/>
    <w:basedOn w:val="1"/>
    <w:link w:val="21"/>
    <w:autoRedefine/>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1">
    <w:name w:val="知识拓展内容 Char"/>
    <w:link w:val="20"/>
    <w:autoRedefine/>
    <w:qFormat/>
    <w:uiPriority w:val="0"/>
    <w:rPr>
      <w:rFonts w:ascii="Times New Roman" w:hAnsi="Times New Roman" w:eastAsia="仿宋_GB2312" w:cs="Times New Roman"/>
      <w:kern w:val="10"/>
      <w:szCs w:val="21"/>
      <w:shd w:val="clear" w:color="auto" w:fill="FADCE9"/>
      <w:lang w:val="zh-CN" w:eastAsia="zh-CN"/>
    </w:rPr>
  </w:style>
  <w:style w:type="character" w:customStyle="1" w:styleId="22">
    <w:name w:val="标题 4 Char"/>
    <w:basedOn w:val="11"/>
    <w:link w:val="3"/>
    <w:autoRedefine/>
    <w:qFormat/>
    <w:uiPriority w:val="0"/>
    <w:rPr>
      <w:rFonts w:ascii="Times New Roman" w:hAnsi="Times New Roman" w:eastAsia="方正宋黑_GBK" w:cs="Times New Roman"/>
      <w:color w:val="E4007F"/>
      <w:sz w:val="26"/>
      <w:szCs w:val="20"/>
    </w:rPr>
  </w:style>
  <w:style w:type="character" w:customStyle="1" w:styleId="23">
    <w:name w:val="字符样式 拼音字体"/>
    <w:autoRedefine/>
    <w:qFormat/>
    <w:uiPriority w:val="0"/>
    <w:rPr>
      <w:rFonts w:ascii="PinYinok" w:hAnsi="PinYinok"/>
      <w:sz w:val="24"/>
      <w:szCs w:val="24"/>
    </w:rPr>
  </w:style>
  <w:style w:type="character" w:customStyle="1" w:styleId="24">
    <w:name w:val="标题 5 Char"/>
    <w:basedOn w:val="11"/>
    <w:link w:val="4"/>
    <w:autoRedefine/>
    <w:semiHidden/>
    <w:qFormat/>
    <w:uiPriority w:val="9"/>
    <w:rPr>
      <w:rFonts w:ascii="Calibri" w:hAnsi="Calibri" w:eastAsia="宋体" w:cs="Times New Roman"/>
      <w:b/>
      <w:bCs/>
      <w:sz w:val="28"/>
      <w:szCs w:val="28"/>
    </w:rPr>
  </w:style>
  <w:style w:type="character" w:customStyle="1" w:styleId="25">
    <w:name w:val="标题 6 Char"/>
    <w:basedOn w:val="11"/>
    <w:link w:val="5"/>
    <w:autoRedefine/>
    <w:semiHidden/>
    <w:qFormat/>
    <w:uiPriority w:val="9"/>
    <w:rPr>
      <w:rFonts w:asciiTheme="majorHAnsi" w:hAnsiTheme="majorHAnsi" w:eastAsiaTheme="majorEastAsia" w:cstheme="majorBidi"/>
      <w:b/>
      <w:bCs/>
      <w:sz w:val="24"/>
      <w:szCs w:val="24"/>
    </w:rPr>
  </w:style>
  <w:style w:type="paragraph" w:customStyle="1" w:styleId="26">
    <w:name w:val="图片"/>
    <w:basedOn w:val="1"/>
    <w:next w:val="6"/>
    <w:link w:val="28"/>
    <w:autoRedefine/>
    <w:qFormat/>
    <w:uiPriority w:val="0"/>
    <w:pPr>
      <w:spacing w:before="120"/>
      <w:jc w:val="center"/>
    </w:pPr>
    <w:rPr>
      <w:rFonts w:ascii="Times New Roman" w:hAnsi="Times New Roman"/>
      <w:szCs w:val="20"/>
    </w:rPr>
  </w:style>
  <w:style w:type="character" w:customStyle="1" w:styleId="27">
    <w:name w:val="题注 Char"/>
    <w:link w:val="6"/>
    <w:autoRedefine/>
    <w:qFormat/>
    <w:locked/>
    <w:uiPriority w:val="0"/>
    <w:rPr>
      <w:rFonts w:eastAsia="黑体" w:asciiTheme="majorHAnsi" w:hAnsiTheme="majorHAnsi" w:cstheme="majorBidi"/>
      <w:sz w:val="20"/>
      <w:szCs w:val="20"/>
    </w:rPr>
  </w:style>
  <w:style w:type="character" w:customStyle="1" w:styleId="28">
    <w:name w:val="图片 Char"/>
    <w:link w:val="26"/>
    <w:autoRedefine/>
    <w:qFormat/>
    <w:locked/>
    <w:uiPriority w:val="0"/>
    <w:rPr>
      <w:rFonts w:ascii="Times New Roman" w:hAnsi="Times New Roman" w:eastAsia="宋体" w:cs="Times New Roman"/>
      <w:szCs w:val="20"/>
    </w:rPr>
  </w:style>
  <w:style w:type="character" w:customStyle="1" w:styleId="29">
    <w:name w:val="标题 3 Char"/>
    <w:basedOn w:val="11"/>
    <w:link w:val="2"/>
    <w:autoRedefine/>
    <w:semiHidden/>
    <w:qFormat/>
    <w:uiPriority w:val="9"/>
    <w:rPr>
      <w:rFonts w:ascii="Calibri" w:hAnsi="Calibri" w:eastAsia="宋体" w:cs="Times New Roman"/>
      <w:b/>
      <w:bCs/>
      <w:sz w:val="32"/>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7" Type="http://schemas.openxmlformats.org/officeDocument/2006/relationships/fontTable" Target="fontTable.xml"/><Relationship Id="rId26" Type="http://schemas.openxmlformats.org/officeDocument/2006/relationships/numbering" Target="numbering.xml"/><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21</Pages>
  <Words>10714</Words>
  <Characters>11373</Characters>
  <Lines>1</Lines>
  <Paragraphs>1</Paragraphs>
  <TotalTime>133</TotalTime>
  <ScaleCrop>false</ScaleCrop>
  <LinksUpToDate>false</LinksUpToDate>
  <CharactersWithSpaces>11894</CharactersWithSpaces>
  <Application>WPS Office_12.1.0.17140_F1E327BC-269C-435d-A152-05C5408002CA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2021-06-12T10:03:00Z</dcterms:created>
  <dc:creator>DELL</dc:creator>
  <cp:lastModifiedBy>微信用户</cp:lastModifiedBy>
  <dcterms:modified xsi:type="dcterms:W3CDTF">2025-10-17T06:00:23Z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2052-12.1.0.17140</vt:lpwstr>
  </property>
  <property fmtid="{D5CDD505-2E9C-101B-9397-08002B2CF9AE}" pid="3" name="ICV">
    <vt:lpwstr>CAF22E9F778248D0CB58E565897B7B1D_43</vt:lpwstr>
  </property>
</Properties>
</file>