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305DDD">
      <w:pPr>
        <w:jc w:val="center"/>
        <w:rPr>
          <w:rFonts w:hint="eastAsia" w:ascii="方正卡通简体" w:hAnsi="方正卡通简体" w:eastAsia="方正卡通简体" w:cs="方正卡通简体"/>
          <w:sz w:val="22"/>
          <w:szCs w:val="28"/>
          <w:lang w:eastAsia="zh-CN"/>
        </w:rPr>
      </w:pPr>
    </w:p>
    <w:p w14:paraId="558149AB">
      <w:pPr>
        <w:jc w:val="center"/>
        <w:rPr>
          <w:rFonts w:hint="eastAsia" w:ascii="方正卡通简体" w:hAnsi="方正卡通简体" w:eastAsia="方正卡通简体" w:cs="方正卡通简体"/>
          <w:sz w:val="22"/>
          <w:szCs w:val="28"/>
          <w:lang w:eastAsia="zh-CN"/>
        </w:rPr>
      </w:pPr>
    </w:p>
    <w:p w14:paraId="348E58FC">
      <w:pPr>
        <w:jc w:val="center"/>
        <w:rPr>
          <w:rFonts w:hint="eastAsia" w:ascii="方正卡通简体" w:hAnsi="方正卡通简体" w:eastAsia="方正卡通简体" w:cs="方正卡通简体"/>
          <w:sz w:val="22"/>
          <w:szCs w:val="28"/>
          <w:lang w:eastAsia="zh-CN"/>
        </w:rPr>
      </w:pPr>
    </w:p>
    <w:p w14:paraId="792F2F56">
      <w:pPr>
        <w:jc w:val="center"/>
        <w:rPr>
          <w:rFonts w:hint="eastAsia" w:ascii="方正卡通简体" w:hAnsi="方正卡通简体" w:eastAsia="方正卡通简体" w:cs="方正卡通简体"/>
          <w:sz w:val="22"/>
          <w:szCs w:val="28"/>
          <w:lang w:eastAsia="zh-CN"/>
        </w:rPr>
      </w:pPr>
    </w:p>
    <w:p w14:paraId="46FCD122">
      <w:pPr>
        <w:jc w:val="both"/>
        <w:rPr>
          <w:rFonts w:hint="eastAsia" w:ascii="方正卡通简体" w:hAnsi="方正卡通简体" w:eastAsia="方正卡通简体" w:cs="方正卡通简体"/>
          <w:sz w:val="22"/>
          <w:szCs w:val="28"/>
          <w:lang w:eastAsia="zh-CN"/>
        </w:rPr>
      </w:pPr>
    </w:p>
    <w:p w14:paraId="7FC0E3B5">
      <w:pPr>
        <w:jc w:val="both"/>
        <w:rPr>
          <w:rFonts w:hint="eastAsia" w:ascii="方正卡通简体" w:hAnsi="方正卡通简体" w:eastAsia="方正卡通简体" w:cs="方正卡通简体"/>
          <w:sz w:val="22"/>
          <w:szCs w:val="28"/>
          <w:lang w:eastAsia="zh-CN"/>
        </w:rPr>
      </w:pPr>
    </w:p>
    <w:p w14:paraId="4AC06B55">
      <w:pPr>
        <w:jc w:val="center"/>
        <w:rPr>
          <w:sz w:val="22"/>
        </w:rPr>
      </w:pPr>
      <w:r>
        <w:rPr>
          <w:sz w:val="22"/>
        </w:rPr>
        <mc:AlternateContent>
          <mc:Choice Requires="wps">
            <w:drawing>
              <wp:inline distT="0" distB="0" distL="114300" distR="114300">
                <wp:extent cx="6209030" cy="1682115"/>
                <wp:effectExtent l="0" t="0" r="0" b="0"/>
                <wp:docPr id="5" name="文本框 5"/>
                <wp:cNvGraphicFramePr/>
                <a:graphic xmlns:a="http://schemas.openxmlformats.org/drawingml/2006/main">
                  <a:graphicData uri="http://schemas.microsoft.com/office/word/2010/wordprocessingShape">
                    <wps:wsp>
                      <wps:cNvSpPr txBox="1"/>
                      <wps:spPr>
                        <a:xfrm>
                          <a:off x="1281430" y="3258820"/>
                          <a:ext cx="6209030" cy="16821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创新思维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w:pict>
              <v:shape id="_x0000_s1026" o:spid="_x0000_s1026" o:spt="202" type="#_x0000_t202" style="height:132.45pt;width:488.9pt;" filled="f" stroked="f" coordsize="21600,21600" o:gfxdata="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Awo5uzXAAAABQEAAA8AAAAAAAAAAQAg&#10;AAAAIgAAAGRycy9kb3ducmV2LnhtbFBLAQIUABQAAAAIAIdO4kBav+JDSAIAAHMEAAAOAAAAAAAA&#10;AAEAIAAAACYBAABkcnMvZTJvRG9jLnhtbFBLBQYAAAAABgAGAFkBAADgBQAAAAA=&#10;">
                <v:fill on="f" focussize="0,0"/>
                <v:stroke on="f" weight="0.5pt"/>
                <v:imagedata o:title=""/>
                <o:lock v:ext="edit" aspectratio="f"/>
                <v:textbo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创新思维</w:t>
                      </w:r>
                    </w:p>
                  </w:txbxContent>
                </v:textbox>
                <w10:wrap type="none"/>
                <w10:anchorlock/>
              </v:shape>
            </w:pict>
          </mc:Fallback>
        </mc:AlternateContent>
      </w:r>
    </w:p>
    <w:p w14:paraId="2F8F1B91">
      <w:pPr>
        <w:jc w:val="center"/>
        <w:rPr>
          <w:sz w:val="22"/>
        </w:rPr>
      </w:pPr>
    </w:p>
    <w:p w14:paraId="17DF8C9C">
      <w:pPr>
        <w:jc w:val="center"/>
        <w:rPr>
          <w:sz w:val="22"/>
        </w:rPr>
      </w:pPr>
    </w:p>
    <w:p w14:paraId="7D007BEB">
      <w:pPr>
        <w:jc w:val="center"/>
        <w:rPr>
          <w:rFonts w:hint="eastAsia" w:ascii="华文中宋" w:hAnsi="华文中宋" w:eastAsia="华文中宋" w:cs="华文中宋"/>
          <w:sz w:val="56"/>
          <w:szCs w:val="56"/>
          <w:lang w:val="en-US" w:eastAsia="zh-CN"/>
        </w:rPr>
      </w:pPr>
      <w:r>
        <w:rPr>
          <w:rFonts w:hint="eastAsia" w:ascii="华文中宋" w:hAnsi="华文中宋" w:eastAsia="华文中宋" w:cs="华文中宋"/>
          <w:sz w:val="56"/>
          <w:szCs w:val="56"/>
          <w:lang w:val="en-US" w:eastAsia="zh-CN"/>
        </w:rPr>
        <w:t>电子教案</w:t>
      </w:r>
    </w:p>
    <w:p w14:paraId="0DF4A48B">
      <w:pPr>
        <w:jc w:val="center"/>
        <w:rPr>
          <w:rFonts w:hint="eastAsia" w:ascii="华文中宋" w:hAnsi="华文中宋" w:eastAsia="华文中宋" w:cs="华文中宋"/>
          <w:sz w:val="56"/>
          <w:szCs w:val="56"/>
          <w:lang w:val="en-US" w:eastAsia="zh-CN"/>
        </w:rPr>
      </w:pPr>
    </w:p>
    <w:p w14:paraId="6DA8BED9">
      <w:pPr>
        <w:jc w:val="center"/>
        <w:rPr>
          <w:rFonts w:hint="eastAsia" w:ascii="华文中宋" w:hAnsi="华文中宋" w:eastAsia="华文中宋" w:cs="华文中宋"/>
          <w:sz w:val="56"/>
          <w:szCs w:val="56"/>
          <w:lang w:val="en-US" w:eastAsia="zh-CN"/>
        </w:rPr>
      </w:pPr>
    </w:p>
    <w:p w14:paraId="13C68512">
      <w:pPr>
        <w:jc w:val="center"/>
        <w:rPr>
          <w:rFonts w:hint="eastAsia" w:ascii="华文中宋" w:hAnsi="华文中宋" w:eastAsia="华文中宋" w:cs="华文中宋"/>
          <w:sz w:val="56"/>
          <w:szCs w:val="56"/>
          <w:lang w:val="en-US" w:eastAsia="zh-CN"/>
        </w:rPr>
      </w:pPr>
    </w:p>
    <w:p w14:paraId="6FEB7887">
      <w:pPr>
        <w:jc w:val="center"/>
        <w:rPr>
          <w:rFonts w:hint="eastAsia" w:ascii="华文中宋" w:hAnsi="华文中宋" w:eastAsia="华文中宋" w:cs="华文中宋"/>
          <w:sz w:val="56"/>
          <w:szCs w:val="56"/>
          <w:lang w:val="en-US" w:eastAsia="zh-CN"/>
        </w:rPr>
      </w:pPr>
    </w:p>
    <w:p w14:paraId="3D2241F9">
      <w:pPr>
        <w:jc w:val="center"/>
        <w:rPr>
          <w:rFonts w:hint="eastAsia" w:ascii="华文中宋" w:hAnsi="华文中宋" w:eastAsia="华文中宋" w:cs="华文中宋"/>
          <w:sz w:val="56"/>
          <w:szCs w:val="56"/>
          <w:lang w:val="en-US" w:eastAsia="zh-CN"/>
        </w:rPr>
      </w:pPr>
    </w:p>
    <w:p w14:paraId="194F83D7">
      <w:pPr>
        <w:jc w:val="center"/>
        <w:rPr>
          <w:rFonts w:hint="eastAsia" w:ascii="华文中宋" w:hAnsi="华文中宋" w:eastAsia="华文中宋" w:cs="华文中宋"/>
          <w:sz w:val="56"/>
          <w:szCs w:val="56"/>
          <w:lang w:val="en-US" w:eastAsia="zh-CN"/>
        </w:rPr>
      </w:pPr>
    </w:p>
    <w:p w14:paraId="1E9186EE">
      <w:pPr>
        <w:jc w:val="center"/>
        <w:rPr>
          <w:rFonts w:hint="eastAsia" w:ascii="方正卡通简体" w:hAnsi="方正卡通简体" w:eastAsia="方正卡通简体" w:cs="方正卡通简体"/>
          <w:sz w:val="22"/>
          <w:szCs w:val="28"/>
          <w:lang w:eastAsia="zh-CN"/>
        </w:rPr>
      </w:pPr>
      <w:r>
        <w:rPr>
          <w:rFonts w:hint="eastAsia" w:ascii="华文中宋" w:hAnsi="华文中宋" w:eastAsia="华文中宋" w:cs="华文中宋"/>
          <w:sz w:val="36"/>
          <w:szCs w:val="36"/>
          <w:lang w:val="en-US" w:eastAsia="zh-CN"/>
        </w:rPr>
        <w:t>北京出版社</w:t>
      </w:r>
      <w:r>
        <w:rPr>
          <w:rFonts w:hint="eastAsia" w:ascii="方正卡通简体" w:hAnsi="方正卡通简体" w:eastAsia="方正卡通简体" w:cs="方正卡通简体"/>
          <w:sz w:val="22"/>
          <w:szCs w:val="28"/>
          <w:lang w:eastAsia="zh-CN"/>
        </w:rPr>
        <w:br w:type="page"/>
      </w:r>
    </w:p>
    <w:p w14:paraId="2435B9E2">
      <w:pPr>
        <w:keepNext w:val="0"/>
        <w:keepLines w:val="0"/>
        <w:pageBreakBefore w:val="0"/>
        <w:widowControl w:val="0"/>
        <w:kinsoku/>
        <w:wordWrap/>
        <w:overflowPunct/>
        <w:topLinePunct w:val="0"/>
        <w:autoSpaceDE/>
        <w:autoSpaceDN/>
        <w:bidi w:val="0"/>
        <w:adjustRightInd/>
        <w:snapToGrid/>
        <w:spacing w:before="313" w:beforeLines="100" w:after="157" w:afterLines="50"/>
        <w:jc w:val="center"/>
        <w:textAlignment w:val="auto"/>
        <w:rPr>
          <w:rFonts w:hint="eastAsia" w:ascii="黑体" w:hAnsi="黑体" w:eastAsia="黑体" w:cs="黑体"/>
          <w:b w:val="0"/>
          <w:bCs w:val="0"/>
          <w:color w:val="385724" w:themeColor="accent6" w:themeShade="80"/>
          <w:sz w:val="44"/>
          <w:szCs w:val="44"/>
          <w:lang w:eastAsia="zh-CN"/>
        </w:rPr>
      </w:pPr>
      <w:r>
        <w:rPr>
          <w:rFonts w:hint="eastAsia" w:ascii="黑体" w:hAnsi="黑体" w:eastAsia="黑体" w:cs="黑体"/>
          <w:b w:val="0"/>
          <w:bCs w:val="0"/>
          <w:color w:val="385724" w:themeColor="accent6" w:themeShade="80"/>
          <w:sz w:val="44"/>
          <w:szCs w:val="44"/>
          <w:lang w:eastAsia="zh-CN"/>
        </w:rPr>
        <w:t>课时分配表</w:t>
      </w:r>
    </w:p>
    <w:tbl>
      <w:tblPr>
        <w:tblStyle w:val="5"/>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autofit"/>
        <w:tblCellMar>
          <w:top w:w="0" w:type="dxa"/>
          <w:left w:w="108" w:type="dxa"/>
          <w:bottom w:w="0" w:type="dxa"/>
          <w:right w:w="108" w:type="dxa"/>
        </w:tblCellMar>
      </w:tblPr>
      <w:tblGrid>
        <w:gridCol w:w="1176"/>
        <w:gridCol w:w="5269"/>
        <w:gridCol w:w="1735"/>
        <w:gridCol w:w="2025"/>
      </w:tblGrid>
      <w:tr w14:paraId="166EAD1B">
        <w:trPr>
          <w:trHeight w:val="850" w:hRule="atLeast"/>
          <w:jc w:val="center"/>
        </w:trPr>
        <w:tc>
          <w:tcPr>
            <w:tcW w:w="1176" w:type="dxa"/>
            <w:tcBorders>
              <w:tl2br w:val="nil"/>
              <w:tr2bl w:val="nil"/>
            </w:tcBorders>
            <w:shd w:val="clear" w:color="auto" w:fill="00B0F0"/>
            <w:vAlign w:val="center"/>
          </w:tcPr>
          <w:p w14:paraId="32350A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章序</w:t>
            </w:r>
          </w:p>
        </w:tc>
        <w:tc>
          <w:tcPr>
            <w:tcW w:w="5269" w:type="dxa"/>
            <w:tcBorders>
              <w:tl2br w:val="nil"/>
              <w:tr2bl w:val="nil"/>
            </w:tcBorders>
            <w:shd w:val="clear" w:color="auto" w:fill="00B0F0"/>
            <w:vAlign w:val="center"/>
          </w:tcPr>
          <w:p w14:paraId="29143F8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课程内容</w:t>
            </w:r>
          </w:p>
        </w:tc>
        <w:tc>
          <w:tcPr>
            <w:tcW w:w="1735" w:type="dxa"/>
            <w:tcBorders>
              <w:tl2br w:val="nil"/>
              <w:tr2bl w:val="nil"/>
            </w:tcBorders>
            <w:shd w:val="clear" w:color="auto" w:fill="00B0F0"/>
            <w:vAlign w:val="center"/>
          </w:tcPr>
          <w:p w14:paraId="5E971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课时</w:t>
            </w:r>
          </w:p>
        </w:tc>
        <w:tc>
          <w:tcPr>
            <w:tcW w:w="2025" w:type="dxa"/>
            <w:tcBorders>
              <w:tl2br w:val="nil"/>
              <w:tr2bl w:val="nil"/>
            </w:tcBorders>
            <w:shd w:val="clear" w:color="auto" w:fill="00B0F0"/>
            <w:vAlign w:val="center"/>
          </w:tcPr>
          <w:p w14:paraId="6D8ADE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备注</w:t>
            </w:r>
          </w:p>
        </w:tc>
      </w:tr>
      <w:tr w14:paraId="565368C6">
        <w:trPr>
          <w:trHeight w:val="850" w:hRule="atLeast"/>
          <w:jc w:val="center"/>
        </w:trPr>
        <w:tc>
          <w:tcPr>
            <w:tcW w:w="1176" w:type="dxa"/>
            <w:tcBorders>
              <w:tl2br w:val="nil"/>
              <w:tr2bl w:val="nil"/>
            </w:tcBorders>
            <w:shd w:val="clear" w:color="auto" w:fill="EBFBFF"/>
            <w:vAlign w:val="center"/>
          </w:tcPr>
          <w:p w14:paraId="1812974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w:t>
            </w:r>
          </w:p>
        </w:tc>
        <w:tc>
          <w:tcPr>
            <w:tcW w:w="5269" w:type="dxa"/>
            <w:tcBorders>
              <w:tl2br w:val="nil"/>
              <w:tr2bl w:val="nil"/>
            </w:tcBorders>
            <w:shd w:val="clear" w:color="auto" w:fill="FFFFFF"/>
            <w:vAlign w:val="center"/>
          </w:tcPr>
          <w:p w14:paraId="6FF849E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创新概述</w:t>
            </w:r>
          </w:p>
        </w:tc>
        <w:tc>
          <w:tcPr>
            <w:tcW w:w="1735" w:type="dxa"/>
            <w:tcBorders>
              <w:tl2br w:val="nil"/>
              <w:tr2bl w:val="nil"/>
            </w:tcBorders>
            <w:shd w:val="clear" w:color="auto" w:fill="EBFBFF"/>
            <w:vAlign w:val="center"/>
          </w:tcPr>
          <w:p w14:paraId="7852388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2D5B9F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9346968">
        <w:trPr>
          <w:trHeight w:val="850" w:hRule="atLeast"/>
          <w:jc w:val="center"/>
        </w:trPr>
        <w:tc>
          <w:tcPr>
            <w:tcW w:w="1176" w:type="dxa"/>
            <w:tcBorders>
              <w:tl2br w:val="nil"/>
              <w:tr2bl w:val="nil"/>
            </w:tcBorders>
            <w:shd w:val="clear" w:color="auto" w:fill="EBFBFF"/>
            <w:vAlign w:val="center"/>
          </w:tcPr>
          <w:p w14:paraId="59BC02D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2</w:t>
            </w:r>
          </w:p>
        </w:tc>
        <w:tc>
          <w:tcPr>
            <w:tcW w:w="5269" w:type="dxa"/>
            <w:tcBorders>
              <w:tl2br w:val="nil"/>
              <w:tr2bl w:val="nil"/>
            </w:tcBorders>
            <w:shd w:val="clear" w:color="auto" w:fill="FFFFFF"/>
            <w:vAlign w:val="center"/>
          </w:tcPr>
          <w:p w14:paraId="58DA387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创新教育概述</w:t>
            </w:r>
          </w:p>
        </w:tc>
        <w:tc>
          <w:tcPr>
            <w:tcW w:w="1735" w:type="dxa"/>
            <w:tcBorders>
              <w:tl2br w:val="nil"/>
              <w:tr2bl w:val="nil"/>
            </w:tcBorders>
            <w:shd w:val="clear" w:color="auto" w:fill="EBFBFF"/>
            <w:vAlign w:val="center"/>
          </w:tcPr>
          <w:p w14:paraId="391CD71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6</w:t>
            </w:r>
          </w:p>
        </w:tc>
        <w:tc>
          <w:tcPr>
            <w:tcW w:w="2025" w:type="dxa"/>
            <w:tcBorders>
              <w:tl2br w:val="nil"/>
              <w:tr2bl w:val="nil"/>
            </w:tcBorders>
            <w:shd w:val="clear" w:color="auto" w:fill="FFFFFF"/>
            <w:vAlign w:val="center"/>
          </w:tcPr>
          <w:p w14:paraId="59E874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7DEDD5A">
        <w:trPr>
          <w:trHeight w:val="850" w:hRule="atLeast"/>
          <w:jc w:val="center"/>
        </w:trPr>
        <w:tc>
          <w:tcPr>
            <w:tcW w:w="1176" w:type="dxa"/>
            <w:tcBorders>
              <w:tl2br w:val="nil"/>
              <w:tr2bl w:val="nil"/>
            </w:tcBorders>
            <w:shd w:val="clear" w:color="auto" w:fill="EBFBFF"/>
            <w:vAlign w:val="center"/>
          </w:tcPr>
          <w:p w14:paraId="1A4BAE74">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3</w:t>
            </w:r>
          </w:p>
        </w:tc>
        <w:tc>
          <w:tcPr>
            <w:tcW w:w="5269" w:type="dxa"/>
            <w:tcBorders>
              <w:tl2br w:val="nil"/>
              <w:tr2bl w:val="nil"/>
            </w:tcBorders>
            <w:shd w:val="clear" w:color="auto" w:fill="FFFFFF"/>
            <w:vAlign w:val="center"/>
          </w:tcPr>
          <w:p w14:paraId="7760824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创新思维及训练</w:t>
            </w:r>
          </w:p>
        </w:tc>
        <w:tc>
          <w:tcPr>
            <w:tcW w:w="1735" w:type="dxa"/>
            <w:tcBorders>
              <w:tl2br w:val="nil"/>
              <w:tr2bl w:val="nil"/>
            </w:tcBorders>
            <w:shd w:val="clear" w:color="auto" w:fill="EBFBFF"/>
            <w:vAlign w:val="center"/>
          </w:tcPr>
          <w:p w14:paraId="1C1B522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8</w:t>
            </w:r>
          </w:p>
        </w:tc>
        <w:tc>
          <w:tcPr>
            <w:tcW w:w="2025" w:type="dxa"/>
            <w:tcBorders>
              <w:tl2br w:val="nil"/>
              <w:tr2bl w:val="nil"/>
            </w:tcBorders>
            <w:shd w:val="clear" w:color="auto" w:fill="FFFFFF"/>
            <w:vAlign w:val="center"/>
          </w:tcPr>
          <w:p w14:paraId="5380E0B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0E1C170">
        <w:trPr>
          <w:trHeight w:val="850" w:hRule="atLeast"/>
          <w:jc w:val="center"/>
        </w:trPr>
        <w:tc>
          <w:tcPr>
            <w:tcW w:w="1176" w:type="dxa"/>
            <w:tcBorders>
              <w:tl2br w:val="nil"/>
              <w:tr2bl w:val="nil"/>
            </w:tcBorders>
            <w:shd w:val="clear" w:color="auto" w:fill="EBFBFF"/>
            <w:vAlign w:val="center"/>
          </w:tcPr>
          <w:p w14:paraId="018F393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4</w:t>
            </w:r>
          </w:p>
        </w:tc>
        <w:tc>
          <w:tcPr>
            <w:tcW w:w="5269" w:type="dxa"/>
            <w:tcBorders>
              <w:tl2br w:val="nil"/>
              <w:tr2bl w:val="nil"/>
            </w:tcBorders>
            <w:shd w:val="clear" w:color="auto" w:fill="FFFFFF"/>
            <w:vAlign w:val="center"/>
          </w:tcPr>
          <w:p w14:paraId="3CB4900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想象、直觉与灵感</w:t>
            </w:r>
          </w:p>
        </w:tc>
        <w:tc>
          <w:tcPr>
            <w:tcW w:w="1735" w:type="dxa"/>
            <w:tcBorders>
              <w:tl2br w:val="nil"/>
              <w:tr2bl w:val="nil"/>
            </w:tcBorders>
            <w:shd w:val="clear" w:color="auto" w:fill="EBFBFF"/>
            <w:vAlign w:val="center"/>
          </w:tcPr>
          <w:p w14:paraId="5508D40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6</w:t>
            </w:r>
          </w:p>
        </w:tc>
        <w:tc>
          <w:tcPr>
            <w:tcW w:w="2025" w:type="dxa"/>
            <w:tcBorders>
              <w:tl2br w:val="nil"/>
              <w:tr2bl w:val="nil"/>
            </w:tcBorders>
            <w:shd w:val="clear" w:color="auto" w:fill="FFFFFF"/>
            <w:vAlign w:val="center"/>
          </w:tcPr>
          <w:p w14:paraId="64BD50F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F6B57EB">
        <w:trPr>
          <w:trHeight w:val="850" w:hRule="atLeast"/>
          <w:jc w:val="center"/>
        </w:trPr>
        <w:tc>
          <w:tcPr>
            <w:tcW w:w="1176" w:type="dxa"/>
            <w:tcBorders>
              <w:tl2br w:val="nil"/>
              <w:tr2bl w:val="nil"/>
            </w:tcBorders>
            <w:shd w:val="clear" w:color="auto" w:fill="EBFBFF"/>
            <w:vAlign w:val="center"/>
          </w:tcPr>
          <w:p w14:paraId="06A53329">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5</w:t>
            </w:r>
          </w:p>
        </w:tc>
        <w:tc>
          <w:tcPr>
            <w:tcW w:w="5269" w:type="dxa"/>
            <w:tcBorders>
              <w:tl2br w:val="nil"/>
              <w:tr2bl w:val="nil"/>
            </w:tcBorders>
            <w:shd w:val="clear" w:color="auto" w:fill="FFFFFF"/>
            <w:vAlign w:val="center"/>
          </w:tcPr>
          <w:p w14:paraId="67E1838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创新技法</w:t>
            </w:r>
          </w:p>
        </w:tc>
        <w:tc>
          <w:tcPr>
            <w:tcW w:w="1735" w:type="dxa"/>
            <w:tcBorders>
              <w:tl2br w:val="nil"/>
              <w:tr2bl w:val="nil"/>
            </w:tcBorders>
            <w:shd w:val="clear" w:color="auto" w:fill="EBFBFF"/>
            <w:vAlign w:val="center"/>
          </w:tcPr>
          <w:p w14:paraId="12B42C5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6</w:t>
            </w:r>
          </w:p>
        </w:tc>
        <w:tc>
          <w:tcPr>
            <w:tcW w:w="2025" w:type="dxa"/>
            <w:tcBorders>
              <w:tl2br w:val="nil"/>
              <w:tr2bl w:val="nil"/>
            </w:tcBorders>
            <w:shd w:val="clear" w:color="auto" w:fill="FFFFFF"/>
            <w:vAlign w:val="center"/>
          </w:tcPr>
          <w:p w14:paraId="29CC122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089DDC28">
        <w:trPr>
          <w:trHeight w:val="850" w:hRule="atLeast"/>
          <w:jc w:val="center"/>
        </w:trPr>
        <w:tc>
          <w:tcPr>
            <w:tcW w:w="1176" w:type="dxa"/>
            <w:tcBorders>
              <w:tl2br w:val="nil"/>
              <w:tr2bl w:val="nil"/>
            </w:tcBorders>
            <w:shd w:val="clear" w:color="auto" w:fill="EBFBFF"/>
            <w:vAlign w:val="center"/>
          </w:tcPr>
          <w:p w14:paraId="061D9AE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6</w:t>
            </w:r>
          </w:p>
        </w:tc>
        <w:tc>
          <w:tcPr>
            <w:tcW w:w="5269" w:type="dxa"/>
            <w:tcBorders>
              <w:tl2br w:val="nil"/>
              <w:tr2bl w:val="nil"/>
            </w:tcBorders>
            <w:shd w:val="clear" w:color="auto" w:fill="FFFFFF"/>
            <w:vAlign w:val="center"/>
          </w:tcPr>
          <w:p w14:paraId="64E75DA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发明管理</w:t>
            </w:r>
          </w:p>
        </w:tc>
        <w:tc>
          <w:tcPr>
            <w:tcW w:w="1735" w:type="dxa"/>
            <w:tcBorders>
              <w:tl2br w:val="nil"/>
              <w:tr2bl w:val="nil"/>
            </w:tcBorders>
            <w:shd w:val="clear" w:color="auto" w:fill="EBFBFF"/>
            <w:vAlign w:val="center"/>
          </w:tcPr>
          <w:p w14:paraId="5B78A79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4</w:t>
            </w:r>
          </w:p>
        </w:tc>
        <w:tc>
          <w:tcPr>
            <w:tcW w:w="2025" w:type="dxa"/>
            <w:tcBorders>
              <w:tl2br w:val="nil"/>
              <w:tr2bl w:val="nil"/>
            </w:tcBorders>
            <w:shd w:val="clear" w:color="auto" w:fill="FFFFFF"/>
            <w:vAlign w:val="center"/>
          </w:tcPr>
          <w:p w14:paraId="71FDF8C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CC07A24">
        <w:trPr>
          <w:trHeight w:val="850" w:hRule="atLeast"/>
          <w:jc w:val="center"/>
        </w:trPr>
        <w:tc>
          <w:tcPr>
            <w:tcW w:w="1176" w:type="dxa"/>
            <w:tcBorders>
              <w:tl2br w:val="nil"/>
              <w:tr2bl w:val="nil"/>
            </w:tcBorders>
            <w:shd w:val="clear" w:color="auto" w:fill="EBFBFF"/>
            <w:vAlign w:val="center"/>
          </w:tcPr>
          <w:p w14:paraId="4CE2AC1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总计</w:t>
            </w:r>
          </w:p>
        </w:tc>
        <w:tc>
          <w:tcPr>
            <w:tcW w:w="5269" w:type="dxa"/>
            <w:tcBorders>
              <w:tl2br w:val="nil"/>
              <w:tr2bl w:val="nil"/>
            </w:tcBorders>
            <w:shd w:val="clear" w:color="auto" w:fill="FFFFFF"/>
            <w:vAlign w:val="center"/>
          </w:tcPr>
          <w:p w14:paraId="149E5A4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c>
          <w:tcPr>
            <w:tcW w:w="1735" w:type="dxa"/>
            <w:tcBorders>
              <w:tl2br w:val="nil"/>
              <w:tr2bl w:val="nil"/>
            </w:tcBorders>
            <w:shd w:val="clear" w:color="auto" w:fill="EBFBFF"/>
            <w:vAlign w:val="center"/>
          </w:tcPr>
          <w:p w14:paraId="080D6D8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32</w:t>
            </w:r>
          </w:p>
        </w:tc>
        <w:tc>
          <w:tcPr>
            <w:tcW w:w="2025" w:type="dxa"/>
            <w:tcBorders>
              <w:tl2br w:val="nil"/>
              <w:tr2bl w:val="nil"/>
            </w:tcBorders>
            <w:shd w:val="clear" w:color="auto" w:fill="FFFFFF"/>
            <w:vAlign w:val="center"/>
          </w:tcPr>
          <w:p w14:paraId="3AA06D9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bl>
    <w:p w14:paraId="24ED5C6B">
      <w:pPr>
        <w:rPr>
          <w:rFonts w:hint="eastAsia" w:ascii="黑体" w:hAnsi="黑体" w:eastAsia="黑体" w:cs="黑体"/>
          <w:b w:val="0"/>
          <w:bCs w:val="0"/>
          <w:color w:val="auto"/>
          <w:sz w:val="44"/>
          <w:szCs w:val="44"/>
          <w:lang w:eastAsia="zh-CN"/>
        </w:rPr>
      </w:pPr>
      <w:r>
        <w:rPr>
          <w:rFonts w:hint="eastAsia" w:ascii="黑体" w:hAnsi="黑体" w:eastAsia="黑体" w:cs="黑体"/>
          <w:b w:val="0"/>
          <w:bCs w:val="0"/>
          <w:color w:val="auto"/>
          <w:sz w:val="44"/>
          <w:szCs w:val="44"/>
          <w:lang w:eastAsia="zh-CN"/>
        </w:rPr>
        <w:br w:type="page"/>
      </w:r>
    </w:p>
    <w:p w14:paraId="556007E6">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第</w:t>
      </w:r>
      <w:r>
        <w:rPr>
          <w:rFonts w:hint="eastAsia" w:ascii="微软雅黑" w:hAnsi="微软雅黑" w:eastAsia="微软雅黑" w:cs="微软雅黑"/>
          <w:b w:val="0"/>
          <w:bCs w:val="0"/>
          <w:color w:val="000000" w:themeColor="text1"/>
          <w:sz w:val="44"/>
          <w:szCs w:val="44"/>
          <w:lang w:val="en-US" w:eastAsia="zh-CN"/>
          <w14:textFill>
            <w14:solidFill>
              <w14:schemeClr w14:val="tx1"/>
            </w14:solidFill>
          </w14:textFill>
        </w:rPr>
        <w:t>1</w:t>
      </w: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课</w:t>
      </w:r>
    </w:p>
    <w:tbl>
      <w:tblPr>
        <w:tblStyle w:val="4"/>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fixed"/>
        <w:tblCellMar>
          <w:top w:w="0" w:type="dxa"/>
          <w:left w:w="108" w:type="dxa"/>
          <w:bottom w:w="0" w:type="dxa"/>
          <w:right w:w="108" w:type="dxa"/>
        </w:tblCellMar>
      </w:tblPr>
      <w:tblGrid>
        <w:gridCol w:w="1541"/>
        <w:gridCol w:w="7014"/>
        <w:gridCol w:w="1650"/>
      </w:tblGrid>
      <w:tr w14:paraId="1C4BB73B">
        <w:trPr>
          <w:trHeight w:val="567" w:hRule="atLeast"/>
          <w:jc w:val="center"/>
        </w:trPr>
        <w:tc>
          <w:tcPr>
            <w:tcW w:w="1541" w:type="dxa"/>
            <w:tcBorders>
              <w:tl2br w:val="nil"/>
              <w:tr2bl w:val="nil"/>
            </w:tcBorders>
            <w:shd w:val="clear" w:color="auto" w:fill="EBFBFF"/>
            <w:vAlign w:val="center"/>
          </w:tcPr>
          <w:p w14:paraId="45E250E4">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题</w:t>
            </w:r>
          </w:p>
        </w:tc>
        <w:tc>
          <w:tcPr>
            <w:tcW w:w="8664" w:type="dxa"/>
            <w:gridSpan w:val="2"/>
            <w:tcBorders>
              <w:tl2br w:val="nil"/>
              <w:tr2bl w:val="nil"/>
            </w:tcBorders>
            <w:shd w:val="clear" w:color="auto" w:fill="auto"/>
            <w:vAlign w:val="center"/>
          </w:tcPr>
          <w:p w14:paraId="1CC5A7C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创新概述</w:t>
            </w:r>
          </w:p>
        </w:tc>
      </w:tr>
      <w:tr w14:paraId="62CC0BFE">
        <w:trPr>
          <w:trHeight w:val="567" w:hRule="atLeast"/>
          <w:jc w:val="center"/>
        </w:trPr>
        <w:tc>
          <w:tcPr>
            <w:tcW w:w="1541" w:type="dxa"/>
            <w:tcBorders>
              <w:tl2br w:val="nil"/>
              <w:tr2bl w:val="nil"/>
            </w:tcBorders>
            <w:shd w:val="clear" w:color="auto" w:fill="EBFBFF"/>
            <w:vAlign w:val="center"/>
          </w:tcPr>
          <w:p w14:paraId="3D8B635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时</w:t>
            </w:r>
          </w:p>
        </w:tc>
        <w:tc>
          <w:tcPr>
            <w:tcW w:w="8664" w:type="dxa"/>
            <w:gridSpan w:val="2"/>
            <w:tcBorders>
              <w:tl2br w:val="nil"/>
              <w:tr2bl w:val="nil"/>
            </w:tcBorders>
            <w:shd w:val="clear" w:color="auto" w:fill="auto"/>
            <w:vAlign w:val="center"/>
          </w:tcPr>
          <w:p w14:paraId="74A7884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sz w:val="24"/>
                <w:szCs w:val="24"/>
                <w:lang w:val="en-US" w:eastAsia="zh-CN"/>
              </w:rPr>
              <w:t>3</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135</w:t>
            </w:r>
            <w:r>
              <w:rPr>
                <w:rFonts w:hint="eastAsia" w:ascii="Times New Roman" w:hAnsi="宋体"/>
                <w:sz w:val="24"/>
                <w:szCs w:val="24"/>
              </w:rPr>
              <w:t xml:space="preserve"> min）。</w:t>
            </w:r>
          </w:p>
        </w:tc>
      </w:tr>
      <w:tr w14:paraId="3A10EA9E">
        <w:trPr>
          <w:trHeight w:val="567" w:hRule="atLeast"/>
          <w:jc w:val="center"/>
        </w:trPr>
        <w:tc>
          <w:tcPr>
            <w:tcW w:w="1541" w:type="dxa"/>
            <w:tcBorders>
              <w:tl2br w:val="nil"/>
              <w:tr2bl w:val="nil"/>
            </w:tcBorders>
            <w:shd w:val="clear" w:color="auto" w:fill="EBFBFF"/>
            <w:vAlign w:val="center"/>
          </w:tcPr>
          <w:p w14:paraId="62886216">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教学目标</w:t>
            </w:r>
          </w:p>
        </w:tc>
        <w:tc>
          <w:tcPr>
            <w:tcW w:w="8664" w:type="dxa"/>
            <w:gridSpan w:val="2"/>
            <w:tcBorders>
              <w:tl2br w:val="nil"/>
              <w:tr2bl w:val="nil"/>
            </w:tcBorders>
            <w:shd w:val="clear" w:color="auto" w:fill="auto"/>
            <w:vAlign w:val="center"/>
          </w:tcPr>
          <w:p w14:paraId="7B4E66AD">
            <w:pPr>
              <w:keepNext w:val="0"/>
              <w:keepLines w:val="0"/>
              <w:suppressLineNumbers w:val="0"/>
              <w:spacing w:before="0" w:beforeAutospacing="0" w:after="0" w:afterAutospacing="0" w:line="360" w:lineRule="auto"/>
              <w:ind w:left="0" w:right="0" w:hanging="8"/>
              <w:rPr>
                <w:rFonts w:hint="default"/>
                <w:b/>
                <w:sz w:val="24"/>
                <w:szCs w:val="24"/>
              </w:rPr>
            </w:pPr>
            <w:r>
              <w:rPr>
                <w:rFonts w:hint="default" w:hAnsi="宋体"/>
                <w:b/>
                <w:sz w:val="24"/>
                <w:szCs w:val="24"/>
              </w:rPr>
              <w:t>知识</w:t>
            </w:r>
            <w:r>
              <w:rPr>
                <w:rFonts w:hint="eastAsia" w:hAnsi="宋体"/>
                <w:b/>
                <w:sz w:val="24"/>
                <w:szCs w:val="24"/>
              </w:rPr>
              <w:t>技能</w:t>
            </w:r>
            <w:r>
              <w:rPr>
                <w:rFonts w:hint="default" w:hAnsi="宋体"/>
                <w:b/>
                <w:sz w:val="24"/>
                <w:szCs w:val="24"/>
              </w:rPr>
              <w:t>目标：</w:t>
            </w:r>
          </w:p>
          <w:p w14:paraId="084E7A21">
            <w:pPr>
              <w:keepNext w:val="0"/>
              <w:keepLines w:val="0"/>
              <w:suppressLineNumbers w:val="0"/>
              <w:spacing w:before="0" w:beforeAutospacing="0" w:after="0" w:afterAutospacing="0" w:line="360" w:lineRule="auto"/>
              <w:ind w:left="0" w:right="0" w:hanging="8"/>
              <w:rPr>
                <w:rFonts w:hint="default" w:ascii="Times New Roman" w:hAnsi="宋体"/>
                <w:bCs/>
                <w:sz w:val="24"/>
                <w:szCs w:val="24"/>
              </w:rPr>
            </w:pPr>
            <w:r>
              <w:rPr>
                <w:rFonts w:hint="default" w:ascii="Times New Roman" w:hAnsi="Times New Roman"/>
                <w:sz w:val="24"/>
                <w:szCs w:val="24"/>
              </w:rPr>
              <w:t>1</w:t>
            </w:r>
            <w:r>
              <w:rPr>
                <w:rFonts w:hint="default" w:ascii="Times New Roman" w:hAnsi="宋体"/>
                <w:bCs/>
                <w:sz w:val="24"/>
                <w:szCs w:val="24"/>
              </w:rPr>
              <w:t>．</w:t>
            </w:r>
            <w:r>
              <w:rPr>
                <w:rFonts w:hint="eastAsia" w:ascii="Times New Roman" w:hAnsi="宋体"/>
                <w:bCs/>
                <w:sz w:val="24"/>
                <w:szCs w:val="24"/>
              </w:rPr>
              <w:t>了解创新的概念。</w:t>
            </w:r>
          </w:p>
          <w:p w14:paraId="7D0BBCB6">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Times New Roman"/>
                <w:sz w:val="24"/>
                <w:szCs w:val="24"/>
              </w:rPr>
              <w:t>2</w:t>
            </w:r>
            <w:r>
              <w:rPr>
                <w:rFonts w:hint="default" w:ascii="Times New Roman" w:hAnsi="宋体"/>
                <w:bCs/>
                <w:sz w:val="24"/>
                <w:szCs w:val="24"/>
              </w:rPr>
              <w:t>．</w:t>
            </w:r>
            <w:r>
              <w:rPr>
                <w:rFonts w:hint="eastAsia" w:ascii="Times New Roman" w:hAnsi="宋体"/>
                <w:bCs/>
                <w:sz w:val="24"/>
                <w:szCs w:val="24"/>
              </w:rPr>
              <w:t>通过学习与练习掌握</w:t>
            </w:r>
            <w:r>
              <w:rPr>
                <w:rFonts w:hint="eastAsia" w:ascii="Times New Roman" w:hAnsi="宋体"/>
                <w:bCs/>
                <w:sz w:val="24"/>
                <w:szCs w:val="24"/>
                <w:lang w:eastAsia="zh-CN"/>
              </w:rPr>
              <w:t>大学生创新创业的意义</w:t>
            </w:r>
            <w:r>
              <w:rPr>
                <w:rFonts w:hint="eastAsia" w:ascii="Times New Roman" w:hAnsi="宋体"/>
                <w:bCs/>
                <w:sz w:val="24"/>
                <w:szCs w:val="24"/>
              </w:rPr>
              <w:t>。</w:t>
            </w:r>
          </w:p>
          <w:p w14:paraId="4850F9B4">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default" w:ascii="Times New Roman" w:hAnsi="Times New Roman"/>
                <w:b/>
                <w:sz w:val="24"/>
                <w:szCs w:val="24"/>
              </w:rPr>
              <w:t>思政育人目标</w:t>
            </w:r>
            <w:r>
              <w:rPr>
                <w:rFonts w:hint="eastAsia" w:ascii="Times New Roman" w:hAnsi="Times New Roman"/>
                <w:b/>
                <w:sz w:val="24"/>
                <w:szCs w:val="24"/>
              </w:rPr>
              <w:t>：</w:t>
            </w:r>
          </w:p>
          <w:p w14:paraId="0A18A2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eastAsia" w:ascii="Times New Roman" w:hAnsi="Times New Roman" w:eastAsia="宋体"/>
                <w:sz w:val="24"/>
                <w:szCs w:val="24"/>
                <w:lang w:eastAsia="zh-CN"/>
              </w:rPr>
            </w:pPr>
            <w:r>
              <w:rPr>
                <w:rFonts w:hint="eastAsia" w:ascii="Times New Roman" w:hAnsi="宋体"/>
                <w:bCs/>
                <w:sz w:val="24"/>
                <w:szCs w:val="24"/>
              </w:rPr>
              <w:t>让学生通过学习</w:t>
            </w:r>
            <w:r>
              <w:rPr>
                <w:rFonts w:hint="eastAsia" w:ascii="Times New Roman" w:hAnsi="宋体"/>
                <w:bCs/>
                <w:sz w:val="24"/>
                <w:szCs w:val="24"/>
                <w:lang w:eastAsia="zh-CN"/>
              </w:rPr>
              <w:t>创新概述</w:t>
            </w:r>
            <w:r>
              <w:rPr>
                <w:rFonts w:hint="eastAsia" w:ascii="Times New Roman" w:hAnsi="宋体"/>
                <w:bCs/>
                <w:sz w:val="24"/>
                <w:szCs w:val="24"/>
              </w:rPr>
              <w:t>，遇到动手操作的事情时，动手实践一下，在实践中找到最好的方法，提高创新能力。</w:t>
            </w:r>
          </w:p>
        </w:tc>
      </w:tr>
      <w:tr w14:paraId="575C5208">
        <w:trPr>
          <w:trHeight w:val="567" w:hRule="atLeast"/>
          <w:jc w:val="center"/>
        </w:trPr>
        <w:tc>
          <w:tcPr>
            <w:tcW w:w="1541" w:type="dxa"/>
            <w:tcBorders>
              <w:tl2br w:val="nil"/>
              <w:tr2bl w:val="nil"/>
            </w:tcBorders>
            <w:shd w:val="clear" w:color="auto" w:fill="EBFBFF"/>
            <w:vAlign w:val="center"/>
          </w:tcPr>
          <w:p w14:paraId="76E2721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教学重难点</w:t>
            </w:r>
          </w:p>
        </w:tc>
        <w:tc>
          <w:tcPr>
            <w:tcW w:w="8664" w:type="dxa"/>
            <w:gridSpan w:val="2"/>
            <w:tcBorders>
              <w:tl2br w:val="nil"/>
              <w:tr2bl w:val="nil"/>
            </w:tcBorders>
            <w:shd w:val="clear" w:color="auto" w:fill="auto"/>
            <w:vAlign w:val="center"/>
          </w:tcPr>
          <w:p w14:paraId="5135300D">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4"/>
                <w:szCs w:val="24"/>
                <w:lang w:eastAsia="zh-CN"/>
              </w:rPr>
            </w:pPr>
            <w:r>
              <w:rPr>
                <w:rFonts w:hint="eastAsia" w:ascii="Times New Roman" w:hAnsi="Times New Roman"/>
                <w:b/>
                <w:sz w:val="24"/>
                <w:szCs w:val="24"/>
              </w:rPr>
              <w:t>教学重点：</w:t>
            </w:r>
            <w:r>
              <w:rPr>
                <w:rFonts w:hint="eastAsia" w:ascii="宋体" w:hAnsi="宋体" w:cs="宋体"/>
                <w:kern w:val="0"/>
                <w:sz w:val="24"/>
                <w:szCs w:val="24"/>
              </w:rPr>
              <w:t>创新概述</w:t>
            </w:r>
          </w:p>
          <w:p w14:paraId="338E3EF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b/>
                <w:sz w:val="24"/>
                <w:szCs w:val="24"/>
              </w:rPr>
              <w:t>教学难点：</w:t>
            </w:r>
            <w:r>
              <w:rPr>
                <w:rFonts w:hint="eastAsia" w:ascii="宋体" w:hAnsi="宋体" w:cs="宋体"/>
                <w:kern w:val="0"/>
                <w:sz w:val="24"/>
                <w:szCs w:val="24"/>
              </w:rPr>
              <w:t>大学生创新创业</w:t>
            </w:r>
          </w:p>
        </w:tc>
      </w:tr>
      <w:tr w14:paraId="32B5C5F0">
        <w:trPr>
          <w:trHeight w:val="567" w:hRule="atLeast"/>
          <w:jc w:val="center"/>
        </w:trPr>
        <w:tc>
          <w:tcPr>
            <w:tcW w:w="1541" w:type="dxa"/>
            <w:tcBorders>
              <w:tl2br w:val="nil"/>
              <w:tr2bl w:val="nil"/>
            </w:tcBorders>
            <w:shd w:val="clear" w:color="auto" w:fill="EBFBFF"/>
            <w:vAlign w:val="center"/>
          </w:tcPr>
          <w:p w14:paraId="2BF8C9F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教学方法</w:t>
            </w:r>
          </w:p>
        </w:tc>
        <w:tc>
          <w:tcPr>
            <w:tcW w:w="8664" w:type="dxa"/>
            <w:gridSpan w:val="2"/>
            <w:tcBorders>
              <w:tl2br w:val="nil"/>
              <w:tr2bl w:val="nil"/>
            </w:tcBorders>
            <w:shd w:val="clear" w:color="auto" w:fill="auto"/>
            <w:vAlign w:val="center"/>
          </w:tcPr>
          <w:p w14:paraId="705CF246">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06F99E51">
        <w:trPr>
          <w:trHeight w:val="567" w:hRule="atLeast"/>
          <w:jc w:val="center"/>
        </w:trPr>
        <w:tc>
          <w:tcPr>
            <w:tcW w:w="1541" w:type="dxa"/>
            <w:tcBorders>
              <w:tl2br w:val="nil"/>
              <w:tr2bl w:val="nil"/>
            </w:tcBorders>
            <w:shd w:val="clear" w:color="auto" w:fill="EBFBFF"/>
            <w:vAlign w:val="center"/>
          </w:tcPr>
          <w:p w14:paraId="7F0DA1C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教学用具</w:t>
            </w:r>
          </w:p>
        </w:tc>
        <w:tc>
          <w:tcPr>
            <w:tcW w:w="8664" w:type="dxa"/>
            <w:gridSpan w:val="2"/>
            <w:tcBorders>
              <w:tl2br w:val="nil"/>
              <w:tr2bl w:val="nil"/>
            </w:tcBorders>
            <w:shd w:val="clear" w:color="auto" w:fill="auto"/>
            <w:vAlign w:val="center"/>
          </w:tcPr>
          <w:p w14:paraId="20879410">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50651BC7">
        <w:trPr>
          <w:trHeight w:val="567" w:hRule="atLeast"/>
          <w:jc w:val="center"/>
        </w:trPr>
        <w:tc>
          <w:tcPr>
            <w:tcW w:w="1541" w:type="dxa"/>
            <w:tcBorders>
              <w:tl2br w:val="nil"/>
              <w:tr2bl w:val="nil"/>
            </w:tcBorders>
            <w:shd w:val="clear" w:color="auto" w:fill="EBFBFF"/>
            <w:vAlign w:val="center"/>
          </w:tcPr>
          <w:p w14:paraId="28190E89">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教学设计</w:t>
            </w:r>
          </w:p>
        </w:tc>
        <w:tc>
          <w:tcPr>
            <w:tcW w:w="8664" w:type="dxa"/>
            <w:gridSpan w:val="2"/>
            <w:tcBorders>
              <w:tl2br w:val="nil"/>
              <w:tr2bl w:val="nil"/>
            </w:tcBorders>
            <w:shd w:val="clear" w:color="auto" w:fill="auto"/>
            <w:vAlign w:val="center"/>
          </w:tcPr>
          <w:p w14:paraId="4D6F1E4B">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55B6E703">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p w14:paraId="53B9EB7C">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3</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eastAsia="zh-CN"/>
              </w:rPr>
              <w:t>作业布置</w:t>
            </w:r>
            <w:r>
              <w:rPr>
                <w:rFonts w:hint="eastAsia" w:ascii="Times New Roman" w:hAnsi="宋体"/>
                <w:sz w:val="24"/>
                <w:szCs w:val="24"/>
              </w:rPr>
              <w:t>（2min）</w:t>
            </w:r>
          </w:p>
        </w:tc>
      </w:tr>
      <w:tr w14:paraId="22B58006">
        <w:trPr>
          <w:trHeight w:val="567" w:hRule="atLeast"/>
          <w:jc w:val="center"/>
        </w:trPr>
        <w:tc>
          <w:tcPr>
            <w:tcW w:w="1541" w:type="dxa"/>
            <w:tcBorders>
              <w:tl2br w:val="nil"/>
              <w:tr2bl w:val="nil"/>
            </w:tcBorders>
            <w:shd w:val="clear" w:color="auto" w:fill="00B0F0"/>
            <w:vAlign w:val="center"/>
          </w:tcPr>
          <w:p w14:paraId="5D9042A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教学过程</w:t>
            </w:r>
          </w:p>
        </w:tc>
        <w:tc>
          <w:tcPr>
            <w:tcW w:w="7014" w:type="dxa"/>
            <w:tcBorders>
              <w:tl2br w:val="nil"/>
              <w:tr2bl w:val="nil"/>
            </w:tcBorders>
            <w:shd w:val="clear" w:color="auto" w:fill="00B0F0"/>
            <w:vAlign w:val="center"/>
          </w:tcPr>
          <w:p w14:paraId="697B473F">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主要教学内容及步骤</w:t>
            </w:r>
          </w:p>
        </w:tc>
        <w:tc>
          <w:tcPr>
            <w:tcW w:w="1650" w:type="dxa"/>
            <w:tcBorders>
              <w:tl2br w:val="nil"/>
              <w:tr2bl w:val="nil"/>
            </w:tcBorders>
            <w:shd w:val="clear" w:color="auto" w:fill="00B0F0"/>
            <w:vAlign w:val="center"/>
          </w:tcPr>
          <w:p w14:paraId="4D7F4A5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设计意图</w:t>
            </w:r>
          </w:p>
        </w:tc>
      </w:tr>
      <w:tr w14:paraId="100C2790">
        <w:trPr>
          <w:trHeight w:val="567" w:hRule="atLeast"/>
          <w:jc w:val="center"/>
        </w:trPr>
        <w:tc>
          <w:tcPr>
            <w:tcW w:w="1541" w:type="dxa"/>
            <w:tcBorders>
              <w:tl2br w:val="nil"/>
              <w:tr2bl w:val="nil"/>
            </w:tcBorders>
            <w:shd w:val="clear" w:color="auto" w:fill="EBFBFF"/>
            <w:vAlign w:val="center"/>
          </w:tcPr>
          <w:p w14:paraId="6D592730">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考勤</w:t>
            </w:r>
          </w:p>
          <w:p w14:paraId="5FC1A38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w:t>
            </w:r>
            <w:r>
              <w:rPr>
                <w:rFonts w:hint="eastAsia" w:ascii="黑体" w:hAnsi="黑体" w:eastAsia="黑体" w:cs="黑体"/>
                <w:b/>
                <w:bCs w:val="0"/>
                <w:color w:val="auto"/>
                <w:sz w:val="24"/>
                <w:szCs w:val="24"/>
                <w:lang w:val="en-US" w:eastAsia="zh-CN"/>
              </w:rPr>
              <w:t>2min</w:t>
            </w:r>
            <w:r>
              <w:rPr>
                <w:rFonts w:hint="eastAsia" w:ascii="黑体" w:hAnsi="黑体" w:eastAsia="黑体" w:cs="黑体"/>
                <w:b/>
                <w:bCs w:val="0"/>
                <w:color w:val="auto"/>
                <w:sz w:val="24"/>
                <w:szCs w:val="24"/>
                <w:lang w:eastAsia="zh-CN"/>
              </w:rPr>
              <w:t>）</w:t>
            </w:r>
          </w:p>
        </w:tc>
        <w:tc>
          <w:tcPr>
            <w:tcW w:w="7014" w:type="dxa"/>
            <w:tcBorders>
              <w:tl2br w:val="nil"/>
              <w:tr2bl w:val="nil"/>
            </w:tcBorders>
            <w:shd w:val="clear" w:color="auto" w:fill="auto"/>
            <w:vAlign w:val="center"/>
          </w:tcPr>
          <w:p w14:paraId="776A88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8CF3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50" w:type="dxa"/>
            <w:tcBorders>
              <w:tl2br w:val="nil"/>
              <w:tr2bl w:val="nil"/>
            </w:tcBorders>
            <w:shd w:val="clear" w:color="auto" w:fill="auto"/>
            <w:vAlign w:val="center"/>
          </w:tcPr>
          <w:p w14:paraId="1DE5B524">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78249654">
        <w:trPr>
          <w:trHeight w:val="567" w:hRule="atLeast"/>
          <w:jc w:val="center"/>
        </w:trPr>
        <w:tc>
          <w:tcPr>
            <w:tcW w:w="1541" w:type="dxa"/>
            <w:tcBorders>
              <w:tl2br w:val="nil"/>
              <w:tr2bl w:val="nil"/>
            </w:tcBorders>
            <w:shd w:val="clear" w:color="auto" w:fill="EBFBFF"/>
            <w:vAlign w:val="center"/>
          </w:tcPr>
          <w:p w14:paraId="2EEACDC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2048C89D">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6DEAA991">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创新概述</w:t>
            </w:r>
          </w:p>
          <w:p w14:paraId="65A518A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一、创新的概念</w:t>
            </w:r>
          </w:p>
          <w:p w14:paraId="2A7E32B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创新的含义</w:t>
            </w:r>
          </w:p>
          <w:p w14:paraId="72B5763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通俗地讲，创新就是创造出前所未有的事物或者对现有事物的改良。创新是以新思维、新发明和新描述为特征的一种概念化过程，其起源于拉丁语，有三层含义：第一，更新；第二，创造新的东西；第三，改变。从经济学的角度讲，创新概念来源于美籍经济学家熊彼特在1912年出版的《经济发展概论》。熊彼特在其著作中提出：创新是指把一种新的生产要素和生产条件的“新结合”引入生产体系，它包括五种情况：引入一种新产品；引入一种新的生产方法；开辟一个新的市场；获得原材料或半成品的一种新的供应来源；新的组织形式。熊彼特的创新概念包含的范围很广，如涉及技术性变化的创新及非技术性变化的组织创新。</w:t>
            </w:r>
          </w:p>
          <w:p w14:paraId="2686EF2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创新的要素</w:t>
            </w:r>
          </w:p>
          <w:p w14:paraId="6C73588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创新就是在知识积累和生活、工作实践的基础上，由一个新颖的创意而产生，对人们有用，同时又具备可行性的一种创造性活动。因此，新颖、有价值和有可行性就构成了创新的三大要素。</w:t>
            </w:r>
          </w:p>
          <w:p w14:paraId="7AF5E3D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（1）新颖</w:t>
            </w:r>
          </w:p>
          <w:p w14:paraId="4BEAAE7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不是模仿、再造，新颖是创新的必备要素。但是，新颖并不意味着每一次创新都是一种开天辟地式的革命，或者是对已有知识领域的全面颠覆。像相对论那样具有革命意义的理论成果，诚然是创新的一种，但实际上大部分的创新，是在某个较小的范围里，用新颖的思考方式，通过前人未经留意的视角来观察和解决问题。这种新颖的思考方式也不见得是前所未有的，而很可能是从别的领域借来用的。具体来说，新颖性又包括三个层次：一是绝对新颖性；二是局部新颖性；三是主观新颖性，即只是对创造者个人来说是前所未有的。</w:t>
            </w:r>
          </w:p>
          <w:p w14:paraId="1C137AF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（2）有价值</w:t>
            </w:r>
          </w:p>
          <w:p w14:paraId="09A51D8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要有明显、具体的价值，对经济社会具有一定的效益。大卫·史密斯发明了“邮包炸弹”梅利莎病毒，到案发时已使100万台电脑瘫痪，造成8000万美元的经济损失。这不是创造价值，而是价值大破坏。有价值与新颖性密切相关，新颖性的价值层次最高，局部新颖性次之，主观新颖性更次之。</w:t>
            </w:r>
          </w:p>
          <w:p w14:paraId="77E1680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（3）有可行性</w:t>
            </w:r>
          </w:p>
          <w:p w14:paraId="733EB7E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任何创新都要考虑在现有条件下的实施问题。如果利用了所有可以利用的资源、条件，仍然无法让某个创新成为现实，那么，再新颖、美妙的想法，也只能是空中楼阁。</w:t>
            </w:r>
          </w:p>
          <w:p w14:paraId="6F79A72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3.“创新”和“创造”的区别</w:t>
            </w:r>
          </w:p>
          <w:p w14:paraId="298F14C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造强调的是第一次的首创，它在“首创”或“第一”问题上是绝对的。而创新则是相对的概念，“创新”要比“首创”“前所未有”的“创造”更宽泛，它既包含了“前所未有”，也包含了对先前原有创造的“重新组合”和“再次发现”。所以，“创新”的概念包含着“创造”，但“创造”并不包含“创新”。另外，发明创造既有促进社会发展的积极发明创造，也有阻碍社会发展的消极发明创造。例如，计算机的发展是积极创造，而电脑算命、计算机病毒则是消极创造；核科学和技术的发展是积极创造，而核武器的发展则是消极创造。但是，创新则不同，创新必须要能促进社会的发展。</w:t>
            </w:r>
          </w:p>
          <w:p w14:paraId="65E4300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二、创新的类型</w:t>
            </w:r>
          </w:p>
          <w:p w14:paraId="0EBF845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按照不同的分类指标，创新可分为不同的类型。</w:t>
            </w:r>
          </w:p>
          <w:p w14:paraId="6FF3A17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根据创新的表现形式进行分类</w:t>
            </w:r>
          </w:p>
          <w:p w14:paraId="40A0008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（1）知识创新</w:t>
            </w:r>
          </w:p>
          <w:p w14:paraId="3336395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知识创新是指通过科学研究，包括基础研究和应用研究，获得新的基础科学和技术科学知识的过程。知识创新为人类认识世界、改造世界提供新理论和新方法，为人类文明进步和社会发展提供不竭动力。</w:t>
            </w:r>
          </w:p>
          <w:p w14:paraId="5B11EA8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（2）技术创新</w:t>
            </w:r>
          </w:p>
          <w:p w14:paraId="6C3099E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技术创新是指生产技术的创新，包括开发新技术，或者将已有的技术进行应用创新。</w:t>
            </w:r>
          </w:p>
          <w:p w14:paraId="33EE1A7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（3）产品创新</w:t>
            </w:r>
          </w:p>
          <w:p w14:paraId="192B8B5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产品创新是指改善或创造产品，进一步满足顾客需求或开辟新的市场。产品创新可分为全新产品创新和改进产品创新。全新产品创新是指产品用途及其原理有显著的变化；改进产品创新是指在技术原理没有重大变化的情况下，基于市场需要对现有产品所做的功能上的扩展和技术上的改进。</w:t>
            </w:r>
          </w:p>
          <w:p w14:paraId="464ABE5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（4）服务创新</w:t>
            </w:r>
          </w:p>
          <w:p w14:paraId="164EBD6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服务创新是指使潜在用户感受到不同于从前的崭新内容，是指新的设想、新的技术手段转变成新的或者已改进的服务方式。</w:t>
            </w:r>
          </w:p>
          <w:p w14:paraId="7E60EDE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（5）制度创新</w:t>
            </w:r>
          </w:p>
          <w:p w14:paraId="68AA0DE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制度创新是指在人们现有的生产和生活环境条件下，通过创设新的更能有效激励人们行为的制度、规范体系来实现社会的持续发展和变革的创新。</w:t>
            </w:r>
          </w:p>
          <w:p w14:paraId="3D1E19A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（6）管理创新</w:t>
            </w:r>
          </w:p>
          <w:p w14:paraId="6EB405B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管理创新是指企业把新的管理要素（如新的管理方法、新的管理手段、新的管理模式等）或要素组合引入企业管理系统以更有效地实现组织目标的活动。</w:t>
            </w:r>
          </w:p>
          <w:p w14:paraId="5CD0E73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根据创新的强度进行分类</w:t>
            </w:r>
          </w:p>
          <w:p w14:paraId="541D224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（1）渐进性创新</w:t>
            </w:r>
          </w:p>
          <w:p w14:paraId="7FA815E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渐进性创新是指渐进的、连续的小创新。这些创新常出自直接从事生产的工程师、工人、用户之手。</w:t>
            </w:r>
          </w:p>
          <w:p w14:paraId="5B84F3C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（2）突破性创新</w:t>
            </w:r>
          </w:p>
          <w:p w14:paraId="587833B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突破性创新是指使产品、工艺或服务具有前所未有的性能特征或具有相似的特征，而其性能和成本都有巨大的提高，或者创造出一种新的产品。</w:t>
            </w:r>
          </w:p>
          <w:p w14:paraId="4D68F6C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（3）革命性创新</w:t>
            </w:r>
          </w:p>
          <w:p w14:paraId="2E3FB19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革命性创新是指会产生具有深远意义的变革，影响经济的几个部门，伴随着新兴产业出现的创新。</w:t>
            </w:r>
          </w:p>
          <w:p w14:paraId="6F61F5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此外，根据创新的行为主体进行分类，可分为政府创新、企业创新、团体创新、大学创新、科研机构创新、个人创新等；根据创新的领域进行分类，可分为教育创新、金融创新、工业创新、农业创新、国防创新、社会创新、文化创新等；根据创新的层次进行分类，可分为首创型创新、改进型创新、应用型创新；根据创新的组织方式进行分类，可分为独立创新、合作创新、引进创新等。</w:t>
            </w:r>
          </w:p>
          <w:p w14:paraId="444ED8C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三、创新精神</w:t>
            </w:r>
          </w:p>
          <w:p w14:paraId="21A3185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精神是一个国家和民族发展的不竭动力，也是一个现代人应该具备的素质。创新精神是指要具有能够综合运用已有的知识、信息、技能和方法，提出新方法、新观点的思维能力和进行发明创造、改革、革新的意志、信心、勇气和智慧。创新精神，是进行创新活动必须具备的一些心理特征，包括创新意识、创新兴趣、创新胆量、创新决心，以及相关的思维活动。</w:t>
            </w:r>
          </w:p>
          <w:p w14:paraId="2ACA957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精神是一种勇于抛弃旧思想旧事物、创立新思想新事物的精神。例如，不满足于已有认识、掌握的事实、建立的理论或总结的方法，不断追求新知；不满足现有的生活生产方式、方法、工具、材料、物品，根据实际需要或新的情况，不断进行改革和革新；不墨守成规，敢于打破原有框框，探索新的规律、新的方法；不迷信书本、权威，敢于根据事实和自己的思考，对权威质疑；不盲目效仿别人的想法、说法、做法，不人云亦云、唯书唯上，坚持独立思考，说自己的话，走自己的路；不喜欢一般化，追求新颖、独特、异想天开、与众不同；不僵化、呆板，灵活地运用已有知识和能力解决问题……这都是创新精神的具体表现。</w:t>
            </w:r>
          </w:p>
          <w:p w14:paraId="1C08337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四、创新能力</w:t>
            </w:r>
          </w:p>
          <w:p w14:paraId="329BA7B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创新能力是个体运用一切已知信息，包括已有的知识和经验等，产生某种独特、新颖、有社会价值或个人价值的产品的能力。它包括创新意识、创新思维和创新技能三部分，核心是创新思维。</w:t>
            </w:r>
          </w:p>
          <w:p w14:paraId="4F2EF6C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创新能力具有以下四大特征。</w:t>
            </w:r>
          </w:p>
          <w:p w14:paraId="619DFAF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自主性</w:t>
            </w:r>
          </w:p>
          <w:p w14:paraId="227E5D1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创新主体在既定创新目标下，能够充分发挥自身主观能动性，从事各种创新活动。</w:t>
            </w:r>
          </w:p>
          <w:p w14:paraId="18E2C5B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首创性</w:t>
            </w:r>
          </w:p>
          <w:p w14:paraId="2001096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包括时间上的首创性，形式或内容上的首创性。</w:t>
            </w:r>
          </w:p>
          <w:p w14:paraId="6A9181A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价值性</w:t>
            </w:r>
          </w:p>
          <w:p w14:paraId="6272838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创新成果能够满足社会需要，推动社会发展进步。</w:t>
            </w:r>
          </w:p>
          <w:p w14:paraId="0DC2EDE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 超越性</w:t>
            </w:r>
          </w:p>
          <w:p w14:paraId="57809AD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主体通过一系列创新活动，不断突破原有思维定式，产生新飞跃的特性。有学者认为，创新能力由十种能力构成：学习能力、分析能力、综合能力、想象能力、批判能力、创造能力、实践能力、提出问题和解决问题能力、组织协调能力、整合多种能力的能力。创新能力的高低是评价人才素质的一个重要标准，关系到民族、企业和个人的前途与命运，具有十分重要的意义。</w:t>
            </w:r>
          </w:p>
        </w:tc>
        <w:tc>
          <w:tcPr>
            <w:tcW w:w="1650" w:type="dxa"/>
            <w:tcBorders>
              <w:tl2br w:val="nil"/>
              <w:tr2bl w:val="nil"/>
            </w:tcBorders>
            <w:shd w:val="clear" w:color="auto" w:fill="auto"/>
            <w:vAlign w:val="center"/>
          </w:tcPr>
          <w:p w14:paraId="46F58955">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讲解创新概述</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让学生更加仔细的了解创新概述，从而</w:t>
            </w:r>
            <w:r>
              <w:rPr>
                <w:rFonts w:hint="eastAsia" w:ascii="Times New Roman" w:hAnsi="Times New Roman"/>
                <w:b/>
                <w:color w:val="auto"/>
                <w:sz w:val="24"/>
                <w:szCs w:val="24"/>
              </w:rPr>
              <w:t>激发学生的学习欲望。</w:t>
            </w:r>
          </w:p>
        </w:tc>
      </w:tr>
      <w:tr w14:paraId="431EB7B0">
        <w:trPr>
          <w:trHeight w:val="567" w:hRule="atLeast"/>
          <w:jc w:val="center"/>
        </w:trPr>
        <w:tc>
          <w:tcPr>
            <w:tcW w:w="1541" w:type="dxa"/>
            <w:tcBorders>
              <w:tl2br w:val="nil"/>
              <w:tr2bl w:val="nil"/>
            </w:tcBorders>
            <w:shd w:val="clear" w:color="auto" w:fill="EBFBFF"/>
            <w:vAlign w:val="center"/>
          </w:tcPr>
          <w:p w14:paraId="15479DB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101DE358">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1BCAD6C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667CC7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创新概述，让学生了解创新的概念、创新的类型、创新精神以及创新能力</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20470DA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74C4A887">
        <w:trPr>
          <w:trHeight w:val="567" w:hRule="atLeast"/>
          <w:jc w:val="center"/>
        </w:trPr>
        <w:tc>
          <w:tcPr>
            <w:tcW w:w="1541" w:type="dxa"/>
            <w:tcBorders>
              <w:tl2br w:val="nil"/>
              <w:tr2bl w:val="nil"/>
            </w:tcBorders>
            <w:shd w:val="clear" w:color="auto" w:fill="EBFBFF"/>
            <w:vAlign w:val="center"/>
          </w:tcPr>
          <w:p w14:paraId="02F4DD9F">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2DD3C98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0B0839FD">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简述创新的类型。</w:t>
            </w:r>
          </w:p>
        </w:tc>
        <w:tc>
          <w:tcPr>
            <w:tcW w:w="1650" w:type="dxa"/>
            <w:tcBorders>
              <w:tl2br w:val="nil"/>
              <w:tr2bl w:val="nil"/>
            </w:tcBorders>
            <w:shd w:val="clear" w:color="auto" w:fill="auto"/>
            <w:vAlign w:val="center"/>
          </w:tcPr>
          <w:p w14:paraId="0658647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797F9293">
        <w:trPr>
          <w:trHeight w:val="567" w:hRule="atLeast"/>
          <w:jc w:val="center"/>
        </w:trPr>
        <w:tc>
          <w:tcPr>
            <w:tcW w:w="1541" w:type="dxa"/>
            <w:tcBorders>
              <w:tl2br w:val="nil"/>
              <w:tr2bl w:val="nil"/>
            </w:tcBorders>
            <w:shd w:val="clear" w:color="auto" w:fill="EBFBFF"/>
            <w:vAlign w:val="center"/>
          </w:tcPr>
          <w:p w14:paraId="7A292A0E">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7F45B108">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1B8CA317">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大学生创新创业（一）</w:t>
            </w:r>
          </w:p>
          <w:p w14:paraId="7F7A2B6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一、大学生创新创业的意义</w:t>
            </w:r>
          </w:p>
          <w:p w14:paraId="35D74CE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创新是一个民族进步的灵魂，是国家兴旺发达的不竭动力。当今世界的综合国力竞争，归根结底是科技实力的竞争、高素质人才的竞争。</w:t>
            </w:r>
          </w:p>
          <w:p w14:paraId="22DAEC4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有助于培养大学生的创新精神和创新能力，推动创新型国家建设在“大众创业、万众创新”背景下，大学生群体作为整个社会最具活力和创造力的高素质人力资源，代表着国家的未来和经济社会发展的不竭动力，培养大学生创新创业能力是建设创新型国家和落实“科教兴国”战略的需要。一个拥有创新能力和大量高素质人才资源的国家，将具备发展知识经济的巨大潜力。大力培养大学生创新创业能力，可以为社会输送一大批具有创新思维的新青年，能有效地维持和推动国家创新体系的建立，符合我国科教兴国和建设创新型国家的发展战略。</w:t>
            </w:r>
          </w:p>
          <w:p w14:paraId="59D2247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有助于提高大学生的综合素质、竞争意识和生存能力</w:t>
            </w:r>
          </w:p>
          <w:p w14:paraId="406EB70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全球化条件下，我国人力资源市场竞争日益激烈。企业招聘大学生，既要看毕业学校，还要看大学生实践经验，而实践能力水平的高低成为用人单位选贤任能的重要标准之一。大学生可以通过自主创业这一平台提高他们的实践能力，积累更多实践经验以及社会经验，提前为毕业后进入好公司打好基础。通过专业知识与创业实践相结合，提升大学生的创业能力，对提高大学生综合素质和高等教育整体水平而言，无疑是最为经济的途径之一。大学毕业生通过自主创业，可以把自己的兴趣与职业紧密结合，做自己最感兴趣、最愿意做和自己认为最值得做的事情，在五彩缤纷的社会舞台中大显身手，最大限度地发挥自己的才能。</w:t>
            </w:r>
          </w:p>
          <w:p w14:paraId="75D3448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有助于缓解就业压力</w:t>
            </w:r>
          </w:p>
          <w:p w14:paraId="60C60B9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对各地大学生创业状况调查显示，一人创业平均可创造5～10个就业岗位。一方面，有助于缓解社会就业压力。另一方面，大学生创办企业大多处于服务业。调查显示，大学生创业所处行业依次为零售、餐饮、批发、文化、体育、娱乐、制造业、农林牧渔、软件和信息技术等23个行业。显然，鼓励大学生创新创业，不仅能有效把就业压力转化为创业动力，还有助于产业结构优化。</w:t>
            </w:r>
          </w:p>
          <w:p w14:paraId="3F9878E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二、大学生创新创业的优势与劣势</w:t>
            </w:r>
          </w:p>
          <w:p w14:paraId="5AA59B9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学生处在职业选择和事业起步的关键期，既有创业的优势——系统的专业知识和技能，思维灵活，创新意识强；又有明显的不足——社会阅历欠缺，人际交往面窄，适应性弱等。因此，大学生创业较之其他群体有其特殊性。</w:t>
            </w:r>
          </w:p>
          <w:p w14:paraId="5FCCA80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大学生创新创业的优势</w:t>
            </w:r>
          </w:p>
          <w:p w14:paraId="3A6E583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年轻”是大学生突出的创业优势，大学生有活力，对认准的事情会义无反顾地去尝试；大学生具有较高层次的知识，具有较高的文化水平及技术力量，能够为创业提供技术支撑。知识资源成了大学生创业的最大优势。大学生思维活跃，善于创新，思路清晰，创意新颖，能将所学的知识很快内化为本领，外化为发明。为了促进大学生创新创业，各地政府专门为大学生制定了相关的优惠政策。</w:t>
            </w:r>
          </w:p>
          <w:p w14:paraId="50994A4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大学生创新创业的劣势</w:t>
            </w:r>
          </w:p>
          <w:p w14:paraId="028FB78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学生缺乏经验，缺乏系统化知识结构，尤其缺乏人脉关系和商业网络；大学生创业启动资金有限，起步困难；政府各种扶持政策具体落实困难；目前我国大学生创业大多属于低水平、同质化创业，缺少创新性技术和原创性项目支撑，产品缺少竞争力。</w:t>
            </w:r>
          </w:p>
          <w:p w14:paraId="6DB72AD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三、大学生创业应具备的条件</w:t>
            </w:r>
          </w:p>
          <w:p w14:paraId="260FAB0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中国人民大学公布的《2017大学生创业报告》显示，我国近90%的大学生对创业有不同程度的意愿，在校大学生中，26%有强烈的或较强的创业意愿；3.8%表示一定会去创业；46.3%认为创业是开创一份新事业。</w:t>
            </w:r>
          </w:p>
          <w:p w14:paraId="19CEF5D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创业经验</w:t>
            </w:r>
          </w:p>
          <w:p w14:paraId="5A07475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首先来说，大学生创业普遍缺少的因素就是工作经验，这个在大学生创业过程中其实是非常重要的因素。大学生长期在校园里，对社会缺乏了解，特别是在市场开拓、企业运营上，很容易陷入眼高手低、纸上谈兵的误区。因此，大学生创业前要做好充分的准备：一方面，去企业打工或实习以积累相关的管理和营销经验；另一方面，积极参加创业培训，积累创业知识，接受专业指导，提高创业成功率。</w:t>
            </w:r>
          </w:p>
          <w:p w14:paraId="18B8605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启动资金</w:t>
            </w:r>
          </w:p>
          <w:p w14:paraId="54390B5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学生刚刚毕业踏入社会，往往没有太多的财富积累，所以大学生创业资金是个大问题。一项调查显示，有四成大学生认为“资金是创业的最大困难”。的确，巧妇难为无米之炊，没有资金，再好的创意也难以转化为现实的生产力。因此，资金是大学生创业要翻越的一座山，大学生要开拓思路，多渠道融资，除了银行贷款、自筹资金、民间借贷等传统途径外，还可充分利用风险投资、天使投资、创业基金等融资渠道。</w:t>
            </w:r>
          </w:p>
          <w:p w14:paraId="3267865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核心技术</w:t>
            </w:r>
          </w:p>
          <w:p w14:paraId="328D8A9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不论是从事哪方面的创业，拥有过硬的技术都是成功的先决条件。用智力换资本，这是大学生创业的特色之路。一些风险投资家往往就是因为看中大学生所掌握的先进技术，而愿意对其创业计划进行资助的。因此，打算在高科技领域创业的大学生，一定要注意技术创新，开发具有自己独立知识产权的产品，吸引投资商。</w:t>
            </w:r>
          </w:p>
          <w:p w14:paraId="395EC57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 创业能力</w:t>
            </w:r>
          </w:p>
          <w:p w14:paraId="5C7A8F2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学生由于长期接受应试教育，不熟悉经营“游戏规则”，技术上出类拔萃，但理财、营销、沟通、管理方面的能力普遍不足。要想创业获得成功，创业者必须技术、经营两手抓。建议可从合伙创业、家庭创业或低成本的虚拟店铺开始，锻炼创业能力。</w:t>
            </w:r>
          </w:p>
          <w:p w14:paraId="535E610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以上四个方面对于大学生创业来说是应具备的条件，即使具备了这些条件后，大学生的创业也充满了不确定性，大学生需要审时度势，不断提高自己的创新创业能力。</w:t>
            </w:r>
          </w:p>
        </w:tc>
        <w:tc>
          <w:tcPr>
            <w:tcW w:w="1650" w:type="dxa"/>
            <w:tcBorders>
              <w:tl2br w:val="nil"/>
              <w:tr2bl w:val="nil"/>
            </w:tcBorders>
            <w:shd w:val="clear" w:color="auto" w:fill="auto"/>
            <w:vAlign w:val="center"/>
          </w:tcPr>
          <w:p w14:paraId="24B7A8F4">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讲解大学生创新创业（一）</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让学生更加仔细的了解大学生创新创业（一），从而</w:t>
            </w:r>
            <w:r>
              <w:rPr>
                <w:rFonts w:hint="eastAsia" w:ascii="Times New Roman" w:hAnsi="Times New Roman"/>
                <w:b/>
                <w:color w:val="auto"/>
                <w:sz w:val="24"/>
                <w:szCs w:val="24"/>
              </w:rPr>
              <w:t>激发学生的学习欲望。</w:t>
            </w:r>
          </w:p>
        </w:tc>
      </w:tr>
      <w:tr w14:paraId="69B3AA46">
        <w:trPr>
          <w:trHeight w:val="567" w:hRule="atLeast"/>
          <w:jc w:val="center"/>
        </w:trPr>
        <w:tc>
          <w:tcPr>
            <w:tcW w:w="1541" w:type="dxa"/>
            <w:tcBorders>
              <w:tl2br w:val="nil"/>
              <w:tr2bl w:val="nil"/>
            </w:tcBorders>
            <w:shd w:val="clear" w:color="auto" w:fill="EBFBFF"/>
            <w:vAlign w:val="center"/>
          </w:tcPr>
          <w:p w14:paraId="62B5DAFA">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34BE57CB">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323DD27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68CF79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大学生创新创业（一），让学生了解大学生创新创业的意义、大学生创新创业的优势与劣势和大学生创业应具备的条件</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0D6BFAB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23E4437B">
        <w:trPr>
          <w:trHeight w:val="567" w:hRule="atLeast"/>
          <w:jc w:val="center"/>
        </w:trPr>
        <w:tc>
          <w:tcPr>
            <w:tcW w:w="1541" w:type="dxa"/>
            <w:tcBorders>
              <w:tl2br w:val="nil"/>
              <w:tr2bl w:val="nil"/>
            </w:tcBorders>
            <w:shd w:val="clear" w:color="auto" w:fill="EBFBFF"/>
            <w:vAlign w:val="center"/>
          </w:tcPr>
          <w:p w14:paraId="517CB018">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23DC970D">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122A1C4D">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简述大学生创新创业的意义。</w:t>
            </w:r>
          </w:p>
        </w:tc>
        <w:tc>
          <w:tcPr>
            <w:tcW w:w="1650" w:type="dxa"/>
            <w:tcBorders>
              <w:tl2br w:val="nil"/>
              <w:tr2bl w:val="nil"/>
            </w:tcBorders>
            <w:shd w:val="clear" w:color="auto" w:fill="auto"/>
            <w:vAlign w:val="center"/>
          </w:tcPr>
          <w:p w14:paraId="42AA8303">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0A840E17">
        <w:trPr>
          <w:trHeight w:val="567" w:hRule="atLeast"/>
          <w:jc w:val="center"/>
        </w:trPr>
        <w:tc>
          <w:tcPr>
            <w:tcW w:w="1541" w:type="dxa"/>
            <w:tcBorders>
              <w:tl2br w:val="nil"/>
              <w:tr2bl w:val="nil"/>
            </w:tcBorders>
            <w:shd w:val="clear" w:color="auto" w:fill="EBFBFF"/>
            <w:vAlign w:val="center"/>
          </w:tcPr>
          <w:p w14:paraId="299328FE">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10B30F04">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742DDBA4">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大学生创新创业（二）</w:t>
            </w:r>
          </w:p>
          <w:p w14:paraId="6D47FAB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四、大学生创新创业赛事概览</w:t>
            </w:r>
          </w:p>
          <w:p w14:paraId="37987ED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第五届“互联网 +”大学生创新创业大赛</w:t>
            </w:r>
          </w:p>
          <w:p w14:paraId="74C7D79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center"/>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大学生创新创业大赛</w:t>
            </w:r>
          </w:p>
          <w:p w14:paraId="646184C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2018年10月14日晚，经过三个小时的精彩对决，第四届中国“互联网+”大学生创新创业大赛全国总决赛冠军诞生。北京理工大学“中云智车——未来商用无人车行业定义者”项目以全场最高分摘得桂冠。厦门大学的“罗化</w:t>
            </w:r>
          </w:p>
          <w:p w14:paraId="2A60716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新材料：全球激光荧光陶瓷的领航者”项目获得亚军。</w:t>
            </w:r>
          </w:p>
          <w:p w14:paraId="56C824E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激光照明与显示具有远超LED等传统光源的优势，是新一代照明与显示技术。然而，其核心部件——荧光转换器却面临着亮度低、寿命短、色域窄等问题，严重阻碍了激光照明与显示产业的发展。基于此，厦门大学的“罗化新材料”项目团队注册成立的江苏罗化新材料有限公司致力于高品质荧光转换器材料的研发、生产及提供照明与现实一体化解决方案，团队运用具有自主知识产权的窄带荧光粉、“双助熔”和微观结构调控等核心技术，在国际上首次制备了高色纯度红色荧光陶瓷，成功实现了红、黄、绿全光谱激光荧光陶瓷转换器的量产，补齐了激光照明与显示的短板。</w:t>
            </w:r>
          </w:p>
          <w:p w14:paraId="12538CA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为贯彻落实全国教育大会精神，深入落实习近平总书记给中国“互联网+”大学生创新创业大赛“青年红色筑梦之旅”大学生的重要回信精神，贯彻落实《国务院办公厅关于深化高等学校创新创业教育改革的实施意见》（国办发〔2015〕36号）等文件要求，加快培养创新创业人才，持续激发学生创新创业热情，展示创新创业教育成果，搭建大学生创新创业项目与社会资源对接平台，定于2019年3月至10月举办第五届中国“互联网+”大学生创新创业大赛。</w:t>
            </w:r>
          </w:p>
          <w:p w14:paraId="7D37943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（1）大赛目的</w:t>
            </w:r>
          </w:p>
          <w:p w14:paraId="1029E47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以赛促学，培养创新创业生力军。大赛旨在激发大学生的创造力，培养造就“大众创业、万众创新”生力军；鼓励广大青年扎根中国大地，了解国情民情，在创新创业中增长智慧才干，在艰苦奋斗中锤炼意志品质，把激昂的青春梦融入伟大的中国梦，努力成长为德才兼备的有为人才。</w:t>
            </w:r>
          </w:p>
          <w:p w14:paraId="46E86F3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以赛促教，探索素质教育新途径。把大赛作为深化创新创业教育改革的重要抓手，引导各地各高校主动服务国家战略和区域发展，开展课程体系、教学方法、教师能力、管理制度等方面的综合改革。以大赛为牵引，带动职业教育、基础教育深化教学改革，全面推进素质教育，切实提高学生的创新精神、创业意识和创新创业能力。</w:t>
            </w:r>
          </w:p>
          <w:p w14:paraId="32A54F1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以赛促创，搭建成果转化新平台。推动赛事成果转化和产学研用紧密结合，促进“互联网+”新业态形成，服务经济高质量发展。以创新引领创业、以创业带动就业，努力形成高校毕业生更高质量创业就业的新局面。</w:t>
            </w:r>
          </w:p>
          <w:p w14:paraId="705F56E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（2）组织机构</w:t>
            </w:r>
          </w:p>
          <w:p w14:paraId="7738ACA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①主办单位。</w:t>
            </w:r>
          </w:p>
          <w:p w14:paraId="5CBCEBE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教育部、中央统战部、中央网络安全和信息化委员会办公室、国家发展和改革委员会、工业和信息化部、人力资源和社会保障部、农业农村部、国家知识产权局、中国科学院、中国工程院、国务院扶贫开发领导小组办公室、共青团中央和浙江省人民政府。</w:t>
            </w:r>
          </w:p>
          <w:p w14:paraId="440F01F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②承办单位。</w:t>
            </w:r>
          </w:p>
          <w:p w14:paraId="3B09738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浙江大学、杭州市人民政府。</w:t>
            </w:r>
          </w:p>
          <w:p w14:paraId="4B48B4C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③组织委员会。</w:t>
            </w:r>
          </w:p>
          <w:p w14:paraId="64F9ABC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大赛设立组织委员会（简称大赛组委会），由教育部部长陈宝生和浙江省省长袁家军担任主任，有关部门负责人作为成员，负责大赛的组织实施。</w:t>
            </w:r>
          </w:p>
          <w:p w14:paraId="623095A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④专家委员会。</w:t>
            </w:r>
          </w:p>
          <w:p w14:paraId="13E4DB8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赛设立专家委员会，由中国工程院原常务副院长潘云鹤担任主任、国家知识产权局原局长田力普担任副主任，行业企业、投资机构、创业孵化机构、大学科技园、公益组织、高校和科研院所专家作为成员，负责参赛项目的评审工作，指导大学生创新创业。</w:t>
            </w:r>
          </w:p>
          <w:p w14:paraId="6F8B148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⑤纪律与监督委员会。</w:t>
            </w:r>
          </w:p>
          <w:p w14:paraId="7C23C95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大赛设立纪律与监督委员会，对大赛组织评审工作、协办单位相关工作进行监督，对违反大赛纪律的行为予以处理。</w:t>
            </w:r>
          </w:p>
          <w:p w14:paraId="7D974AB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⑥总决赛冠名。</w:t>
            </w:r>
          </w:p>
          <w:p w14:paraId="2E70747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赛总决赛由中国建设银行冠名支持，各地教育部门可积极争取中国建设银行分支机构对省赛的赞助支持。大赛由相关组织参与协办（名单经大赛纪律与监督委员会认可后另发）。各省（区、市）可根据实际成立相应的机构，开展本地初赛和复赛的组织实施、项目评审和推荐等工作。</w:t>
            </w:r>
          </w:p>
          <w:p w14:paraId="1EDFB67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（3）大赛日程</w:t>
            </w:r>
          </w:p>
          <w:p w14:paraId="2ADE969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参赛报名：2019年4—5月</w:t>
            </w:r>
          </w:p>
          <w:p w14:paraId="7498B23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初赛复赛：2019年6—8月</w:t>
            </w:r>
          </w:p>
          <w:p w14:paraId="1EFAE09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全国总决赛：2019年10月中下旬</w:t>
            </w:r>
          </w:p>
          <w:p w14:paraId="1533CDB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（4）参赛对象</w:t>
            </w:r>
          </w:p>
          <w:p w14:paraId="57EA256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赛共5个具体赛道和6项同期活动，每个赛道要求的参赛对象不同。一般要求参赛申报人须为团队负责人（如以团队参赛）或须为企业法人（如以企业主体参赛），并且须为普通高等学校在校生或毕业5年以内的毕业生（2014年之后毕业的），部分赛项允许高校教师或中华人民共和国教育部正式认可的国外普通高等学校（参见教育部教育涉外监管信息网http：//www.jsj.edu.cn/）18岁以上的在校生或毕业5年以内的毕业生（2014年之后毕业）参赛，详见通知中每个赛道对参赛对象的具体要求。</w:t>
            </w:r>
          </w:p>
          <w:p w14:paraId="6D96D65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（5）参赛报名</w:t>
            </w:r>
          </w:p>
          <w:p w14:paraId="1D72919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参赛团队通过登录“全国大学生创业服务网”（cy.ncss.cn）或微信公众号（名称为“全国大学生创业服务网”或“中国‘互联网+’大学生创新创业大赛”）任一方式进行报名。报名系统开放时间为2019年4月5日，截止时间由各省（区、市）根据复赛安排自行决定，但不得晚于8月15日。更多报名信息请见各赛道方案说明。</w:t>
            </w:r>
          </w:p>
          <w:p w14:paraId="25494B4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（6）大赛总体安排</w:t>
            </w:r>
          </w:p>
          <w:p w14:paraId="5D718CD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第五届大赛将举办“1+6”系列活动。“1”是主体赛事，包括高教主赛道、“青年红色筑梦之旅”赛道、职教赛道、国际赛道和萌芽版块。“6”是6项同期活动，包括“青年红色筑梦之旅”活动、“大学生创客秀”（大学生创新创业成果展）、大赛优秀项目对接巡展、对话2049未来科技系列活动、浙商文化体验活动、联合国教科文组织创业教育国际会议。</w:t>
            </w:r>
          </w:p>
          <w:p w14:paraId="673EBE3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第五届大赛将力争做到“五个更”。一是更全面，做强高教版块、做优职教版块、做大国际版块、探索萌芽版块，探索形成各学段有机衔接的创新创业教育链条，实现区域、学校、学生类型全覆盖。二是更国际，拓展国际赛道，深化国际交流合作，深度融入全球创新创业浪潮。三是更中国，以大赛为载体，推出创新创业教育的中国经验、中国模式，提升我国高等教育的影响力、感召力、塑造力。四是更教育，促进创新创业教育与思想政治教育、专业教育、体育、美育、劳动教育紧密结合，构建德智体美劳“五育平台”，上好一堂最大的创新创业课；深入开展“青年红色筑梦之旅”活动，上好一堂最大的国情思政课。五是更创新，广泛开展大中学生创新活动，助推科研成果转化应用，服务国家创新发展。</w:t>
            </w:r>
          </w:p>
          <w:p w14:paraId="3FADBCE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（7）参赛项目要求</w:t>
            </w:r>
          </w:p>
          <w:p w14:paraId="40C89D5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参赛项目能够将移动互联网、云计算、大数据、人工智能、物联网、下一代通信技术等新一代信息技术与经济社会各领域紧密结合，培育新产品、新服务、新业态、新模式；发挥互联网在促进产业升级以及信息化和工业化深度融合中的作用，促进制造业、农业、能源、环保等产业转型升级；发挥互联网在社会服务中的作用，创新网络化服务模式，促进互联网与教育、医疗、交通、金融、消费生活等深度融合。</w:t>
            </w:r>
          </w:p>
          <w:p w14:paraId="1B387FA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参赛项目须真实、健康、合法，无任何不良信息，项目立意应弘扬正能量，践行社会主义核心价值观。参赛项目不得侵犯他人知识产权；所涉及发明创造、专利技术、资源等必须拥有清晰合法知识产权或物权；抄袭、盗用、提供虚假材料或违反相关法律法规一经发现即刻丧失参赛相关权利并自负一切法律责任。</w:t>
            </w:r>
          </w:p>
          <w:p w14:paraId="07E4F06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参赛项目涉及他人知识产权的，报名时需提交完整的具有法律效力的所有人书面授权许可书、专利证书等；已完成工商登记注册的创业项目，报名时需提交营业执照及统一社会信用代码等相关复印件、单位概况、法定代表人情况、股权结构等。参赛项目可提供当前财务数据、已获投资情况、带动就业情况等相关证明材料。已获投资（或收入）1000万元以上的参赛项目，请在全国总决赛时提供相应佐证材料。</w:t>
            </w:r>
          </w:p>
          <w:p w14:paraId="4C0C031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④参赛项目根据各赛道相应的要求，只能选择一个符合要求的赛道参赛。已获往届中国“互联网+”大学生创新创业大赛全国总决赛各赛道金奖和银奖的项目，不可报名参加第五届大赛。</w:t>
            </w:r>
          </w:p>
          <w:p w14:paraId="1B8DC54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⑤各省、自治区、直辖市教育厅（教委），新疆生产建设兵团教育局，各有关学校负责审核参赛对象资格。</w:t>
            </w:r>
          </w:p>
          <w:p w14:paraId="0AE03E4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（8）比赛赛制</w:t>
            </w:r>
          </w:p>
          <w:p w14:paraId="5D336AC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大赛采用校级初赛、省级复赛、全国总决赛三级赛制（不含萌芽版块）。校级初赛由各院校负责组织，省级复赛由各省（区、市）负责组织，全国总决赛由各省（区、市）按照大赛组委会确定的配额择优遴选推荐项目。大赛组委会将综合考虑各省（区、市）报名团队数、参赛院校数和创新创业教育工作情况等因素分配全国总决赛名额。</w:t>
            </w:r>
          </w:p>
          <w:p w14:paraId="761A277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全国共产生1200个项目入围全国总决赛（港澳台地区参赛名额单列），其中高教主赛道600个、“青年红色筑梦之旅”赛道200个、职教赛道200个、萌芽版块200个。此外，国际赛道产生60个项目进入全国总决赛现场比赛。</w:t>
            </w:r>
          </w:p>
          <w:p w14:paraId="7EF2863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③高教主赛道每所高校入选全国总决赛项目总数不超过4个，“青年红色筑梦之旅”赛道、职教赛道、国际赛道（国内外双学籍类）、萌芽版块每所院校入选全国总决赛项目各不超过2个。</w:t>
            </w:r>
          </w:p>
          <w:p w14:paraId="106255B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（9）赛程安排</w:t>
            </w:r>
          </w:p>
          <w:p w14:paraId="2E8448C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①参赛报名（2019年4—5月）。</w:t>
            </w:r>
          </w:p>
          <w:p w14:paraId="658226F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参赛团队通过登录“全国大学生创业服务网”（cy.ncss.cn）或微信公众号（名称为“全国大学生创业服务网”或“中国‘互联网+’大学生创新创业大赛”）任一方式进行报名。报名系统开放时间为2019年4月5日，截止时间由各省（区、市）根据复赛安排自行决定，但不得晚于8月15日。</w:t>
            </w:r>
          </w:p>
          <w:p w14:paraId="20CF6B7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②初赛复赛（2019年6—8月）。</w:t>
            </w:r>
          </w:p>
          <w:p w14:paraId="56B7690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各省（区、市）各院校登录cy.ncss.cn/gl/login进行大赛管理和信息查看。省级管理用户使用大赛组委会统一分配的账号进行登录，校级账号由各省级管理用户进行管理。初赛复赛的比赛环节、评审方式等由各院校、各省（区、市）自行决定。各省（区、市）在8月31日前完成省级复赛，遴选参加全国总决赛的候选项目（推荐项目应有名次排序，供全国总决赛参考）。</w:t>
            </w:r>
          </w:p>
          <w:p w14:paraId="4A9BD5A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③全国总决赛（2019年10月中下旬）。</w:t>
            </w:r>
          </w:p>
          <w:p w14:paraId="22B4FC5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赛专家委员会对入围全国总决赛项目进行网上评审，择优选拔项目进行现场比赛，决出金奖、银奖、铜奖。大赛组委会将通过“全国大学生创业服务网”为参赛团队提供项目展示、创业指导、投资对接等服务。各项目团队可以登录“全国大学生创业服务网”查看相关信息。各省（区、市）可以利用网站提供的资源，为参赛团队做好服务。各院校还可以通过腾讯微校平台进行赛事宣传（weixiao.qq.com/shuangchuang），腾讯云将根据参赛团队的组别提供不同级别的免费云服务支持，给予项目激励和孵化指导。</w:t>
            </w:r>
          </w:p>
          <w:p w14:paraId="79BED20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（10）评审规则</w:t>
            </w:r>
          </w:p>
          <w:p w14:paraId="74BD4BD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请登录“全国大学生创业服务网”（cy.ncss.cn）查看具体内容。</w:t>
            </w:r>
          </w:p>
          <w:p w14:paraId="183782F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（11）大赛奖项</w:t>
            </w:r>
          </w:p>
          <w:p w14:paraId="66707FD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大赛设金奖、银奖、铜奖和各类单项奖；另设高校集体奖、省市组织奖和优秀导师奖。</w:t>
            </w:r>
          </w:p>
          <w:p w14:paraId="59644BE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（12）宣传发动</w:t>
            </w:r>
          </w:p>
          <w:p w14:paraId="6C70C91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各地各校要认真做好大赛的宣传动员和组织工作。各省（区、市）教育行政部门要做好统筹协调，高教、职教和普教职能处室共同参与，组织做好省内比赛和项目推荐工作。各校要认真组织动员团队参赛，为在校生和毕业生参与竞赛提供必要的条件和支持，做好学校初赛组织工作。鼓励教师将科技成果产业化，带领学生创新创业。根据情况组织师生观看大学生创新创业题材电影《当我们海阔天空》，激励更多学生了解“双创”、投身“双创”。各地各校要坚持以赛促学、以赛促教、以赛促创，积极推进学生创新创业训练和实践，不断提高创新创业人才培养水平，厚植“大众创业、万众创新”土壤，助力“双创”升级，为建设创新型国家提供源源不断的人才智力支撑。</w:t>
            </w:r>
          </w:p>
          <w:p w14:paraId="0B346BA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（13）联系方式</w:t>
            </w:r>
          </w:p>
          <w:p w14:paraId="592B0E4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官方网站：https：//cy.ncss.cn</w:t>
            </w:r>
          </w:p>
          <w:p w14:paraId="19FF0AE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大赛组委会联系方式：</w:t>
            </w:r>
          </w:p>
          <w:p w14:paraId="09746CC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①大赛工作QQ群。</w:t>
            </w:r>
          </w:p>
          <w:p w14:paraId="79624F8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工作QQ群：460798492，请每个参赛省（区、市）指定两名工作人员加入该群，便于赛事工作沟通交流。</w:t>
            </w:r>
          </w:p>
          <w:p w14:paraId="4795B8C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②大赛组委会联系人。</w:t>
            </w:r>
          </w:p>
          <w:p w14:paraId="0FD27E2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全国高等学校学生信息咨询与就业指导中心</w:t>
            </w:r>
          </w:p>
          <w:p w14:paraId="1F86DBF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咨询联系：石锦澎</w:t>
            </w:r>
          </w:p>
          <w:p w14:paraId="5E1EED4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联系电话：010-62111870</w:t>
            </w:r>
          </w:p>
          <w:p w14:paraId="1A72F5C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传真号码：010-62111780</w:t>
            </w:r>
          </w:p>
          <w:p w14:paraId="7BDCEB3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电子邮箱：jybdcw@chsi.com.cn</w:t>
            </w:r>
          </w:p>
          <w:p w14:paraId="1FD8C36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联系地址：北京市海淀区北三环西路甲18号大钟寺中坤广场（邮编：100098）</w:t>
            </w:r>
          </w:p>
          <w:p w14:paraId="0779380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浙江大学</w:t>
            </w:r>
          </w:p>
          <w:p w14:paraId="3C95D71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咨询联系：张良、刘鹏</w:t>
            </w:r>
          </w:p>
          <w:p w14:paraId="4C227D6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联系电话：0571-88981829、88981236</w:t>
            </w:r>
          </w:p>
          <w:p w14:paraId="291A837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传真号码：0571-88981106</w:t>
            </w:r>
          </w:p>
          <w:p w14:paraId="392D2FD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电子邮箱：cxcy@zju.edu.cn</w:t>
            </w:r>
          </w:p>
          <w:p w14:paraId="78F58A9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联系地址：浙江省杭州市余杭塘路866号（邮编：310058）</w:t>
            </w:r>
          </w:p>
          <w:p w14:paraId="4F6C3A1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教育部高等教育司综合处</w:t>
            </w:r>
          </w:p>
          <w:p w14:paraId="7F4AA88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咨询联系：吴维东</w:t>
            </w:r>
          </w:p>
          <w:p w14:paraId="2993FC0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联系电话：010-66097850</w:t>
            </w:r>
          </w:p>
          <w:p w14:paraId="46317DC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传真号码：010-66020758</w:t>
            </w:r>
          </w:p>
          <w:p w14:paraId="7636A4B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电子邮箱：internetplus@moe.edu.cn</w:t>
            </w:r>
          </w:p>
          <w:p w14:paraId="753A6C4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联系地址：北京市西城区大木仓胡同37号（邮编：100816）</w:t>
            </w:r>
          </w:p>
          <w:p w14:paraId="3FC8D11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EB4691"/>
                <w:sz w:val="24"/>
                <w:szCs w:val="24"/>
                <w:lang w:eastAsia="zh-CN"/>
              </w:rPr>
              <w:t>2. 关于举办 2019 年黄炎培职业教育奖创业规划大赛选拔赛的通知</w:t>
            </w:r>
          </w:p>
          <w:p w14:paraId="401692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根据省教育厅《关于开展2019年湖南黄炎培职业教育奖创业规划大赛的通知》（湘教通〔2019〕132号），为进一步激发学生的创新创业热情，展示创新创业教育成果，经研究，定于5月31日举办2019年黄炎培职业教育奖创业规划大赛选拔赛。现将有关事项通知如下。</w:t>
            </w:r>
          </w:p>
          <w:p w14:paraId="567C6AD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（1）比赛形式</w:t>
            </w:r>
          </w:p>
          <w:p w14:paraId="3027F2A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大赛主要考查参赛作品的可行性、创新性和创业团队的创新意识、创业理念、协作精神等。以申报评审书为比赛主要载体，相关附件和实物产品为支撑，辅以创业实践、现场答辩等其他多种比赛形式。</w:t>
            </w:r>
          </w:p>
          <w:p w14:paraId="3FD16CF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（2）作品要求</w:t>
            </w:r>
          </w:p>
          <w:p w14:paraId="75C4FAE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参赛作品可以是一个已经实施的创业项目，也可以是一个创业规划。参赛作品的选题、核心部分的构思设计、申报评审书的撰写均应由学生完成；参赛作品必须按照要求提交全部资料，相关细节应作详细说明；参赛作品使用别人已经注册的知识产权内容，申报时应注明出处。凡是不符合方案规定、弄虚作假、剽窃他人成果、不能如实申报相关材料和主动声明引用他人成果者，将取消参赛资格。</w:t>
            </w:r>
          </w:p>
          <w:p w14:paraId="3E9A7D2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已参加过其他和往届赛事的作品不能参加比赛，一经发现，取消比赛资格。鼓励立足我省社会经济发展需求、立足所学专业知识和技术技能的作品参赛；提倡原创真创。</w:t>
            </w:r>
          </w:p>
          <w:p w14:paraId="18C8268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（3）比赛流程</w:t>
            </w:r>
          </w:p>
          <w:p w14:paraId="155CE46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①网上申报。</w:t>
            </w:r>
          </w:p>
          <w:p w14:paraId="4B0370D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各项目的负责人及时领取湖南黄炎培职业教育奖创业规划大赛申报评审平台（以下简称大赛平台）用户名及密码，点击链接（http://zhzjs.hnedu.cn/），登录大赛平台，按要求填写、提交大赛申报评审书。</w:t>
            </w:r>
          </w:p>
          <w:p w14:paraId="4A73B03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②报送纸质材料。</w:t>
            </w:r>
          </w:p>
          <w:p w14:paraId="78F5A5C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通过大赛平台打印填写好申报评审书，由各系盖章后报送至学校招生与就业指导服务中心，一式一份。（纸质材料限A3或A4纸打印，不需特别包装设计。）</w:t>
            </w:r>
          </w:p>
          <w:p w14:paraId="16AC9E3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③网评。</w:t>
            </w:r>
          </w:p>
          <w:p w14:paraId="5C4A3FC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学校组织专家对项目进行评审，确定入围选拔赛的项目。</w:t>
            </w:r>
          </w:p>
          <w:p w14:paraId="72533EC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④辅导培训。</w:t>
            </w:r>
          </w:p>
          <w:p w14:paraId="5D23B91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网评结束后，对入围选拔赛的各团队指导老师和选手统一组织辅导和培训。</w:t>
            </w:r>
          </w:p>
          <w:p w14:paraId="0EDFC1B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⑤决赛。</w:t>
            </w:r>
          </w:p>
          <w:p w14:paraId="4CE3755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决赛主要包括创业项目汇报、专家现场答辩等程序。</w:t>
            </w:r>
          </w:p>
          <w:p w14:paraId="1DC60AA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（4）评审标准及额外加分条款</w:t>
            </w:r>
          </w:p>
          <w:p w14:paraId="3CE769A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参赛作品得分为参评专家评分的总和，通过分值高低评选出名次。</w:t>
            </w:r>
          </w:p>
          <w:p w14:paraId="3D92706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①评审书评分标准。</w:t>
            </w:r>
          </w:p>
          <w:p w14:paraId="2825E70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可行性（25分）。一是作品是否立足地方经济社会发展的重点领域，是否立足地方产业结构调整的要求，向先进装备制造、新材料、文化创意、生物、新能源、信息、节能环保等7大战略性新兴产业倾斜；二是是否对作品的技术水平、市场反响等方面进行调查研究和分析比较，提出投资建议。</w:t>
            </w:r>
          </w:p>
          <w:p w14:paraId="0AABE58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创新性（25分）。指参赛作品是否具有一定的技术含量，或具有低碳、环保、节能等方面的特色，内容、理念是否新颖。</w:t>
            </w:r>
          </w:p>
          <w:p w14:paraId="5F91CD5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专业性（25分）。指参赛作品涉及的内容与参赛团队成员所学和擅长的专业业务、个人特长、爱好是否紧密结合。参赛团队的组合搭配和分工在知识结构上是否科学合理。</w:t>
            </w:r>
          </w:p>
          <w:p w14:paraId="0B214C1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实践性（25分）。指参赛团队是否具备融资、抵御风险、公司管理等能力，是否有能力将规划付诸实践。</w:t>
            </w:r>
          </w:p>
          <w:p w14:paraId="03D5FDA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②现场答辩评分标准。</w:t>
            </w:r>
          </w:p>
          <w:p w14:paraId="42D3E83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现场陈述（40分）。是否能全面且客观地介绍和评价产品及其市场前景；是否对市场调查的情况和结果进行严密和科学分析，介绍短期和长期整体发展及营销战略；对团队是否有清晰的认识；是否有完善且符合实际的企业融资方案，并测算资本回报；对企业在经营中可能遇到的主要风险和关键问题是否进行前期考虑和分析，并附有实质性的对策；是否在规定的时间内完成陈述。</w:t>
            </w:r>
          </w:p>
          <w:p w14:paraId="546CBFB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回答提问（40分）。是否对评委提出的问题要点有准确的理解，回答具有针对性；能否在评委提问结束后快速回答，且内容连贯、条理清晰；回答内容是否真实可信；对评委特别指出的方面能否做出充分说明和解释。</w:t>
            </w:r>
          </w:p>
          <w:p w14:paraId="6C6771F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整体表现（20分）。陈述和回答提问的内容是否整体一致，且语言简明扼要；团队成员能否很好地协调、合作，彼此互补，对相关领域的问题能阐述清楚。现场答辩具体规则另行通知。</w:t>
            </w:r>
          </w:p>
          <w:p w14:paraId="6E3E487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③额外加分条款。</w:t>
            </w:r>
          </w:p>
          <w:p w14:paraId="6C3EE7C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额外加分指参赛作品入围决赛后，在决赛现场答辩时具备以下条件的，可以在现场答辩专家评分的基础上适当加分，加分的原则是就高但不累加。所有申请额外加分的作品，必须提供佐证材料，能否获得加分由大赛组委会认定。</w:t>
            </w:r>
          </w:p>
          <w:p w14:paraId="277AF55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参赛作品已经授权国家专利的，发明加3分，实用新型加2分，外观设计加1分。已完成企业工商税务登记的加2分。专利发明人和企业法人须为参赛团队成员（含指导教师）。专利授权加分和企业工商税务登记加分有效期均为2019年1月1日起至决赛前，不在规定期限的不予加分。专利及企业名称应与参赛作品名称具有较高的一致性。</w:t>
            </w:r>
          </w:p>
          <w:p w14:paraId="00367E3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（5）奖励</w:t>
            </w:r>
          </w:p>
          <w:p w14:paraId="360932A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学生项目奖：比赛设一、二、三等奖和优胜奖，其中一等奖两名，二等奖五名，三等奖七名，优胜奖若干。所有参加选拔赛的作品，经评审委员会审查合格都可以获得优胜奖。综合得分前四名的作品，将推荐参加2019年中华职业教育创新创业大赛。</w:t>
            </w:r>
          </w:p>
          <w:p w14:paraId="647D219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②指导教师奖：对获奖作品的指导教师颁发指导教师奖。</w:t>
            </w:r>
          </w:p>
          <w:p w14:paraId="03623FB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EB4691"/>
                <w:sz w:val="24"/>
                <w:szCs w:val="24"/>
                <w:lang w:eastAsia="zh-CN"/>
              </w:rPr>
              <w:t>3.“挑战杯——彩虹人生”全国职业学校创新创效创业大赛通知</w:t>
            </w:r>
          </w:p>
          <w:p w14:paraId="358FE50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为学习贯彻习近平新时代中国特色社会主义思想和党的十九大精神，认真落实国务院《关于加快发展现代职业教育的决定》《关于大力推进大众创业万众创新若干政策措施的意见》，深化职业教育产教融合、校企合作，有效搭建职业学校学生创新创业平台，增强职业学校学生创新创效、就业创业和职业转换能力，近期将启动2018年“挑战杯——彩虹人生”全国职业学校创新创效创业大赛。现将大赛有关事项通知如下。</w:t>
            </w:r>
          </w:p>
          <w:p w14:paraId="3FFF558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（1）举办单位</w:t>
            </w:r>
          </w:p>
          <w:p w14:paraId="6500702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主办单位：共青团中央、教育部、人力资源社会保障部、中国科协、全国学联、江苏省人民政府</w:t>
            </w:r>
          </w:p>
          <w:p w14:paraId="7CE74B2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承办单位：共青团江苏省委、江苏省教育厅、江苏省人力资源社会保障厅、江苏省科协、江苏省学联、南京市人民政府</w:t>
            </w:r>
          </w:p>
          <w:p w14:paraId="6415B81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协办单位：共青团南京市委、南京市江宁区人民政府、南京交通职业技术学院、江苏海事职业技术学院</w:t>
            </w:r>
          </w:p>
          <w:p w14:paraId="7E6C858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（2）参赛内容和参赛对象</w:t>
            </w:r>
          </w:p>
          <w:p w14:paraId="55402F0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大赛设中职组、高职组两个参赛组别。各参赛组别均设置创意设计竞赛、生产工艺革新与工作流程优化竞赛两类竞赛项目。</w:t>
            </w:r>
          </w:p>
          <w:p w14:paraId="29FFF84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赛面向2018年7月1日以前正式注册的全日制各类中职学校（包括普通中等专业学校、职业高中、技工学校和成人中等专业学校）和高职院校（不包括有高职的本科院校）在校学生（含技师学院高级工班、预备技师班学生）。具体参赛内容及参赛规则详见“挑战杯——彩虹人生”全国职业学校创新创效创业大赛章程。</w:t>
            </w:r>
          </w:p>
          <w:p w14:paraId="64789EE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（3）参赛形式</w:t>
            </w:r>
          </w:p>
          <w:p w14:paraId="600B0A5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大赛分为省级和全国两级赛事（有条件的学校可举办校级赛事）。作品由学校统一申报，选手除以个人形式参赛外，鼓励组成学科优势互补、专业配备科学、人员结构合理的小组以团队形式参赛。</w:t>
            </w:r>
          </w:p>
          <w:p w14:paraId="6997BFC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省级赛事原则上由各省（自治区、直辖市）自行决定比赛方式并负责参加全国复赛作品的组织申报。省全国赛事分为复赛和决赛两个阶段。全国复赛作品主要以文本方式进行评审，图纸、技术参数说明等为辅。全国决赛采用现场展示、问辩方式进行。</w:t>
            </w:r>
          </w:p>
          <w:p w14:paraId="58F78D9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（4）推进步骤</w:t>
            </w:r>
          </w:p>
          <w:p w14:paraId="56D25AA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大赛主体赛事分省级预赛、全国复赛、全国决赛三个阶段进行。</w:t>
            </w:r>
          </w:p>
          <w:p w14:paraId="5A72A17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2018年5月至6月，各省（自治区、直辖市）根据大赛要求组织省级预赛或作品遴选，并按时在大赛官方网站（http://chrs.chuangqingchun.net）进行省级参赛作品的网络报备和申报。具体事宜参见团中央学校部官方微信、学校共青团网站以及大赛官方网站通知。</w:t>
            </w:r>
          </w:p>
          <w:p w14:paraId="57A4B3F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2018年6月15日前，各省（自治区、直辖市）汇总经预赛或遴选产生的参加复赛作品，对作品申报表及相关材料的填写情况进行把关，按照统一要求报送至全国组委会办公室。全国组委会不接受学校或个人的申报。</w:t>
            </w:r>
          </w:p>
          <w:p w14:paraId="6AE45E0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各省（自治区、直辖市）上报参加全国复赛的作品数量，根据各省份职业学校数、学生数以及工作基础进行分配。全国复赛作品总数1000件，其中中职组400件，高职组600件。各省份遴选推荐时要尽量兼顾到本地职业学校以及作品组别和类别的科学合理分布，每所学校参加全国复赛的作品总数不超过4件，每类竞赛不超过2件；承办院校可推荐不超过4件作品直接参加全国复赛，不占所在省份全国复赛作品名额。每人（每个团队）限报1件；每个参赛作品只可选择参加一类竞赛项目，不得兼报。</w:t>
            </w:r>
          </w:p>
          <w:p w14:paraId="4BC2BF6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③2018年7月初，举行全国复赛。全国评委会对参赛作品进行评审，选出若干参赛作品进入决赛，并书面通知各省（自治区、直辖市）团委。</w:t>
            </w:r>
          </w:p>
          <w:p w14:paraId="3CADE5A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④2018年8月，举行全国决赛。全国评委会和组委会将通过相应评审环节，根据实际情况评出相关奖项。复赛、决赛阶段具体事宜届时将另行通知。</w:t>
            </w:r>
          </w:p>
          <w:p w14:paraId="799FACE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（5）联系方式</w:t>
            </w:r>
          </w:p>
          <w:p w14:paraId="7E35879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①团中央学校部。</w:t>
            </w:r>
          </w:p>
          <w:p w14:paraId="11292BD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联系人：徐国峰　周波</w:t>
            </w:r>
          </w:p>
          <w:p w14:paraId="2CE057D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电话：010-85212723 85212015（传真）</w:t>
            </w:r>
          </w:p>
          <w:p w14:paraId="6D3334D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 xml:space="preserve">电子信箱：zhongzhichu1015@163.com </w:t>
            </w:r>
          </w:p>
          <w:p w14:paraId="47C1ECF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地址：北京市东城区前门东大街10号</w:t>
            </w:r>
          </w:p>
          <w:p w14:paraId="0804277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邮编：100005</w:t>
            </w:r>
          </w:p>
          <w:p w14:paraId="20A29C4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②2018年“挑战杯——彩虹人生”全国职业学校创新创效创业大赛官方网站联系方式。</w:t>
            </w:r>
          </w:p>
          <w:p w14:paraId="71E877E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联系人：李宇杰 段向南</w:t>
            </w:r>
          </w:p>
          <w:p w14:paraId="59DAEF1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联系电话：010-52878507 62672690（传真）</w:t>
            </w:r>
          </w:p>
          <w:p w14:paraId="7CF8539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电子信箱：kefu@chuangqingchun.net</w:t>
            </w:r>
          </w:p>
          <w:p w14:paraId="293570E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地址：北京市海淀区中关村东路66号世纪科贸大厦B座1605</w:t>
            </w:r>
          </w:p>
          <w:p w14:paraId="52CC80B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邮编：100190</w:t>
            </w:r>
          </w:p>
          <w:p w14:paraId="21A3BBC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bookmarkStart w:id="0" w:name="_GoBack"/>
            <w:bookmarkEnd w:id="0"/>
          </w:p>
          <w:p w14:paraId="6985E5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p>
        </w:tc>
        <w:tc>
          <w:tcPr>
            <w:tcW w:w="1650" w:type="dxa"/>
            <w:tcBorders>
              <w:tl2br w:val="nil"/>
              <w:tr2bl w:val="nil"/>
            </w:tcBorders>
            <w:shd w:val="clear" w:color="auto" w:fill="auto"/>
            <w:vAlign w:val="center"/>
          </w:tcPr>
          <w:p w14:paraId="36CA7C24">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讲解大学生创新创业（</w:t>
            </w:r>
            <w:r>
              <w:rPr>
                <w:rFonts w:hint="eastAsia" w:ascii="Times New Roman" w:hAnsi="Times New Roman"/>
                <w:b/>
                <w:color w:val="auto"/>
                <w:sz w:val="24"/>
                <w:szCs w:val="24"/>
                <w:lang w:val="en-US" w:eastAsia="zh-CN"/>
              </w:rPr>
              <w:t>二</w:t>
            </w:r>
            <w:r>
              <w:rPr>
                <w:rFonts w:hint="eastAsia" w:ascii="Times New Roman" w:hAnsi="Times New Roman"/>
                <w:b/>
                <w:color w:val="auto"/>
                <w:sz w:val="24"/>
                <w:szCs w:val="24"/>
                <w:lang w:eastAsia="zh-CN"/>
              </w:rPr>
              <w:t>）</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让学生更加仔细的了解大学生创新创业（</w:t>
            </w:r>
            <w:r>
              <w:rPr>
                <w:rFonts w:hint="eastAsia" w:ascii="Times New Roman" w:hAnsi="Times New Roman"/>
                <w:b/>
                <w:color w:val="auto"/>
                <w:sz w:val="24"/>
                <w:szCs w:val="24"/>
                <w:lang w:val="en-US" w:eastAsia="zh-CN"/>
              </w:rPr>
              <w:t>二</w:t>
            </w:r>
            <w:r>
              <w:rPr>
                <w:rFonts w:hint="eastAsia" w:ascii="Times New Roman" w:hAnsi="Times New Roman"/>
                <w:b/>
                <w:color w:val="auto"/>
                <w:sz w:val="24"/>
                <w:szCs w:val="24"/>
                <w:lang w:eastAsia="zh-CN"/>
              </w:rPr>
              <w:t>）</w:t>
            </w:r>
            <w:r>
              <w:rPr>
                <w:rFonts w:hint="eastAsia" w:ascii="Times New Roman" w:hAnsi="Times New Roman"/>
                <w:b/>
                <w:color w:val="auto"/>
                <w:sz w:val="24"/>
                <w:szCs w:val="24"/>
                <w:lang w:val="en-US" w:eastAsia="zh-CN"/>
              </w:rPr>
              <w:t>的基础知识</w:t>
            </w:r>
            <w:r>
              <w:rPr>
                <w:rFonts w:hint="eastAsia" w:ascii="Times New Roman" w:hAnsi="Times New Roman"/>
                <w:b/>
                <w:color w:val="auto"/>
                <w:sz w:val="24"/>
                <w:szCs w:val="24"/>
              </w:rPr>
              <w:t>。</w:t>
            </w:r>
          </w:p>
        </w:tc>
      </w:tr>
      <w:tr w14:paraId="77F6BB57">
        <w:trPr>
          <w:trHeight w:val="567" w:hRule="atLeast"/>
          <w:jc w:val="center"/>
        </w:trPr>
        <w:tc>
          <w:tcPr>
            <w:tcW w:w="1541" w:type="dxa"/>
            <w:tcBorders>
              <w:tl2br w:val="nil"/>
              <w:tr2bl w:val="nil"/>
            </w:tcBorders>
            <w:shd w:val="clear" w:color="auto" w:fill="EBFBFF"/>
            <w:vAlign w:val="center"/>
          </w:tcPr>
          <w:p w14:paraId="6238C5D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3D173691">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7BC0FF5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09F1DD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大学生创新创业（二），让学生了解大学生创新创业赛事概览</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339D73C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2EE9CACD">
        <w:trPr>
          <w:trHeight w:val="567" w:hRule="atLeast"/>
          <w:jc w:val="center"/>
        </w:trPr>
        <w:tc>
          <w:tcPr>
            <w:tcW w:w="1541" w:type="dxa"/>
            <w:tcBorders>
              <w:tl2br w:val="nil"/>
              <w:tr2bl w:val="nil"/>
            </w:tcBorders>
            <w:shd w:val="clear" w:color="auto" w:fill="EBFBFF"/>
            <w:vAlign w:val="center"/>
          </w:tcPr>
          <w:p w14:paraId="0F46DE79">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2810D04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74C4F9A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你认为大学生应该怎样培养自己的创新精神和创新能力？</w:t>
            </w:r>
          </w:p>
        </w:tc>
        <w:tc>
          <w:tcPr>
            <w:tcW w:w="1650" w:type="dxa"/>
            <w:tcBorders>
              <w:tl2br w:val="nil"/>
              <w:tr2bl w:val="nil"/>
            </w:tcBorders>
            <w:shd w:val="clear" w:color="auto" w:fill="auto"/>
            <w:vAlign w:val="center"/>
          </w:tcPr>
          <w:p w14:paraId="31041A1C">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60E60E03">
        <w:trPr>
          <w:trHeight w:val="567" w:hRule="atLeast"/>
          <w:jc w:val="center"/>
        </w:trPr>
        <w:tc>
          <w:tcPr>
            <w:tcW w:w="1541" w:type="dxa"/>
            <w:tcBorders>
              <w:tl2br w:val="nil"/>
              <w:tr2bl w:val="nil"/>
            </w:tcBorders>
            <w:shd w:val="clear" w:color="auto" w:fill="EBFBFF"/>
            <w:vAlign w:val="center"/>
          </w:tcPr>
          <w:p w14:paraId="7C68FD31">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000000" w:themeColor="text1"/>
                <w:sz w:val="24"/>
                <w:szCs w:val="24"/>
                <w14:textFill>
                  <w14:solidFill>
                    <w14:schemeClr w14:val="tx1"/>
                  </w14:solidFill>
                </w14:textFill>
              </w:rPr>
            </w:pPr>
            <w:r>
              <w:rPr>
                <w:rFonts w:hint="eastAsia" w:ascii="微软雅黑" w:hAnsi="微软雅黑" w:eastAsia="微软雅黑"/>
                <w:b/>
                <w:color w:val="000000" w:themeColor="text1"/>
                <w:sz w:val="24"/>
                <w:szCs w:val="24"/>
                <w14:textFill>
                  <w14:solidFill>
                    <w14:schemeClr w14:val="tx1"/>
                  </w14:solidFill>
                </w14:textFill>
              </w:rPr>
              <w:t>教学反思</w:t>
            </w:r>
          </w:p>
        </w:tc>
        <w:tc>
          <w:tcPr>
            <w:tcW w:w="8664" w:type="dxa"/>
            <w:gridSpan w:val="2"/>
            <w:tcBorders>
              <w:tl2br w:val="nil"/>
              <w:tr2bl w:val="nil"/>
            </w:tcBorders>
            <w:shd w:val="clear" w:color="auto" w:fill="auto"/>
            <w:vAlign w:val="center"/>
          </w:tcPr>
          <w:p w14:paraId="5AC69545">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olor w:val="000000" w:themeColor="text1"/>
                <w:sz w:val="24"/>
                <w:szCs w:val="24"/>
                <w:lang w:val="en-US" w:eastAsia="zh-CN"/>
                <w14:textFill>
                  <w14:solidFill>
                    <w14:schemeClr w14:val="tx1"/>
                  </w14:solidFill>
                </w14:textFill>
              </w:rPr>
            </w:pPr>
            <w:r>
              <w:rPr>
                <w:rFonts w:hint="default" w:ascii="Times New Roman" w:hAnsi="Times New Roman"/>
                <w:color w:val="000000" w:themeColor="text1"/>
                <w:sz w:val="24"/>
                <w:szCs w:val="24"/>
                <w14:textFill>
                  <w14:solidFill>
                    <w14:schemeClr w14:val="tx1"/>
                  </w14:solidFill>
                </w14:textFill>
              </w:rPr>
              <w:t>这堂课的教学达到了融教育智慧、教学艺术、教学技术于一体的智慧结晶，做到了人无我有，人有我优，人优我新</w:t>
            </w:r>
            <w:r>
              <w:rPr>
                <w:rFonts w:hint="eastAsia" w:ascii="Times New Roman" w:hAnsi="Times New Roman"/>
                <w:color w:val="000000" w:themeColor="text1"/>
                <w:sz w:val="24"/>
                <w:szCs w:val="24"/>
                <w:lang w:eastAsia="zh-CN"/>
                <w14:textFill>
                  <w14:solidFill>
                    <w14:schemeClr w14:val="tx1"/>
                  </w14:solidFill>
                </w14:textFill>
              </w:rPr>
              <w:t>。</w:t>
            </w:r>
          </w:p>
        </w:tc>
      </w:tr>
    </w:tbl>
    <w:p w14:paraId="5890B7FC">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p>
    <w:p w14:paraId="4895D70E">
      <w:pPr>
        <w:rPr>
          <w:rFonts w:hint="eastAsia" w:ascii="方正卡通简体" w:hAnsi="方正卡通简体" w:eastAsia="方正卡通简体" w:cs="方正卡通简体"/>
          <w:sz w:val="22"/>
          <w:szCs w:val="28"/>
          <w:lang w:eastAsia="zh-CN"/>
        </w:rPr>
      </w:pPr>
    </w:p>
    <w:p w14:paraId="3471044E">
      <w:pPr>
        <w:rPr>
          <w:rFonts w:hint="eastAsia" w:ascii="方正卡通简体" w:hAnsi="方正卡通简体" w:eastAsia="方正卡通简体" w:cs="方正卡通简体"/>
          <w:sz w:val="22"/>
          <w:szCs w:val="28"/>
          <w:lang w:eastAsia="zh-CN"/>
        </w:rPr>
      </w:pPr>
    </w:p>
    <w:sectPr>
      <w:headerReference r:id="rId4" w:type="first"/>
      <w:headerReference r:id="rId3" w:type="default"/>
      <w:pgSz w:w="11906" w:h="16838"/>
      <w:pgMar w:top="850" w:right="850" w:bottom="850" w:left="850" w:header="567" w:footer="567"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BA"/>
    <w:family w:val="auto"/>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方正卡通简体">
    <w:altName w:val="苹方-简"/>
    <w:panose1 w:val="03000509000000000000"/>
    <w:charset w:val="86"/>
    <w:family w:val="auto"/>
    <w:pitch w:val="default"/>
    <w:sig w:usb0="00000000" w:usb1="00000000" w:usb2="00000000" w:usb3="00000000" w:csb0="00040000" w:csb1="00000000"/>
  </w:font>
  <w:font w:name="WPS灵秀黑">
    <w:altName w:val="汉仪中黑KW"/>
    <w:panose1 w:val="00000000000000000000"/>
    <w:charset w:val="86"/>
    <w:family w:val="auto"/>
    <w:pitch w:val="default"/>
    <w:sig w:usb0="00000000" w:usb1="00000000" w:usb2="00000000" w:usb3="00000000" w:csb0="00040001" w:csb1="00000000"/>
  </w:font>
  <w:font w:name="华文中宋">
    <w:altName w:val="汉仪书宋二KW"/>
    <w:panose1 w:val="02010600040101010101"/>
    <w:charset w:val="86"/>
    <w:family w:val="auto"/>
    <w:pitch w:val="default"/>
    <w:sig w:usb0="00000000" w:usb1="00000000" w:usb2="00000000" w:usb3="00000000" w:csb0="0004009F" w:csb1="DFD70000"/>
  </w:font>
  <w:font w:name="微软雅黑">
    <w:altName w:val="汉仪旗黑"/>
    <w:panose1 w:val="020B0503020204020204"/>
    <w:charset w:val="86"/>
    <w:family w:val="auto"/>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汉仪旗黑">
    <w:panose1 w:val="00020600040101010101"/>
    <w:charset w:val="86"/>
    <w:family w:val="auto"/>
    <w:pitch w:val="default"/>
    <w:sig w:usb0="A00002BF" w:usb1="1ACF7CFA" w:usb2="00000016" w:usb3="00000000" w:csb0="0004009F" w:csb1="DFD70000"/>
  </w:font>
  <w:font w:name="Kingsoft Sign">
    <w:panose1 w:val="05050102010706020507"/>
    <w:charset w:val="00"/>
    <w:family w:val="auto"/>
    <w:pitch w:val="default"/>
    <w:sig w:usb0="00000000" w:usb1="10000000" w:usb2="00000000" w:usb3="00000000" w:csb0="00000001" w:csb1="00000000"/>
  </w:font>
  <w:font w:name="宋体-简">
    <w:panose1 w:val="02010800040101010101"/>
    <w:charset w:val="86"/>
    <w:family w:val="auto"/>
    <w:pitch w:val="default"/>
    <w:sig w:usb0="00000001" w:usb1="080F0000" w:usb2="00000000" w:usb3="00000000" w:csb0="00040000"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0C620F">
    <w:pPr>
      <w:pStyle w:val="3"/>
    </w:pPr>
    <w:r>
      <w:rPr>
        <w:rFonts w:hint="eastAsia" w:eastAsiaTheme="minorEastAsia"/>
        <w:lang w:eastAsia="zh-CN"/>
      </w:rPr>
      <w:drawing>
        <wp:anchor distT="0" distB="0" distL="114300" distR="114300" simplePos="0" relativeHeight="251662336" behindDoc="1" locked="0" layoutInCell="1" allowOverlap="1">
          <wp:simplePos x="0" y="0"/>
          <wp:positionH relativeFrom="column">
            <wp:posOffset>-561340</wp:posOffset>
          </wp:positionH>
          <wp:positionV relativeFrom="paragraph">
            <wp:posOffset>-400050</wp:posOffset>
          </wp:positionV>
          <wp:extent cx="7581265" cy="10718800"/>
          <wp:effectExtent l="0" t="0" r="635" b="6350"/>
          <wp:wrapNone/>
          <wp:docPr id="4" name="图片 4"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4" name="图片 4"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r>
      <w:rPr>
        <w:sz w:val="24"/>
      </w:rPr>
      <mc:AlternateContent>
        <mc:Choice Requires="wps">
          <w:drawing>
            <wp:anchor distT="0" distB="0" distL="114300" distR="114300" simplePos="0" relativeHeight="251660288" behindDoc="0" locked="0" layoutInCell="1" allowOverlap="1">
              <wp:simplePos x="0" y="0"/>
              <wp:positionH relativeFrom="column">
                <wp:posOffset>-34925</wp:posOffset>
              </wp:positionH>
              <wp:positionV relativeFrom="paragraph">
                <wp:posOffset>124460</wp:posOffset>
              </wp:positionV>
              <wp:extent cx="6551930" cy="9683750"/>
              <wp:effectExtent l="0" t="0" r="1270" b="12700"/>
              <wp:wrapNone/>
              <wp:docPr id="3" name="圆角矩形 3"/>
              <wp:cNvGraphicFramePr/>
              <a:graphic xmlns:a="http://schemas.openxmlformats.org/drawingml/2006/main">
                <a:graphicData uri="http://schemas.microsoft.com/office/word/2010/wordprocessingShape">
                  <wps:wsp>
                    <wps:cNvSpPr/>
                    <wps:spPr>
                      <a:xfrm>
                        <a:off x="495935" y="471805"/>
                        <a:ext cx="6551930" cy="9683750"/>
                      </a:xfrm>
                      <a:prstGeom prst="roundRect">
                        <a:avLst>
                          <a:gd name="adj" fmla="val 1621"/>
                        </a:avLst>
                      </a:prstGeom>
                      <a:solidFill>
                        <a:schemeClr val="bg1">
                          <a:alpha val="92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75pt;margin-top:9.8pt;height:762.5pt;width:515.9pt;z-index:251660288;v-text-anchor:middle;mso-width-relative:page;mso-height-relative:page;" fillcolor="#FFFFFF [3212]" filled="t" stroked="f" coordsize="21600,21600" arcsize="0.0162037037037037" o:gfxdata="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">
              <v:fill on="t" opacity="60293f" focussize="0,0"/>
              <v:stroke on="f" weight="1pt" miterlimit="8" joinstyle="miter"/>
              <v:imagedata o:title=""/>
              <o:lock v:ext="edit" aspectratio="f"/>
            </v:round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65FB1E">
    <w:pPr>
      <w:pStyle w:val="3"/>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-556260</wp:posOffset>
          </wp:positionH>
          <wp:positionV relativeFrom="paragraph">
            <wp:posOffset>-396875</wp:posOffset>
          </wp:positionV>
          <wp:extent cx="7581265" cy="10718800"/>
          <wp:effectExtent l="0" t="0" r="635" b="6350"/>
          <wp:wrapNone/>
          <wp:docPr id="2" name="图片 2"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2" name="图片 2"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00"/>
  <w:embedSystem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20100FF"/>
    <w:rsid w:val="4C33506C"/>
    <w:rsid w:val="64086007"/>
    <w:rsid w:val="720100FF"/>
    <w:rsid w:val="A8FCA741"/>
    <w:rsid w:val="BDFFC8E7"/>
    <w:rsid w:val="F97EB4CB"/>
    <w:rsid w:val="FDEA2F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Users/ddxing/Library/Containers/com.kingsoft.wpsoffice.mac/Data/C:\Users\xiaoyu\AppData\Roaming\kingsoft\office6\templates\download\bf49227c8437bf5e3e8a03ab2616cfa9\&#31958;&#26524;&#36793;&#26694;&#21487;&#29233;&#20449;&#3244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糖果边框可爱信纸.docx</Template>
  <Pages>23</Pages>
  <Words>985</Words>
  <Characters>1100</Characters>
  <Lines>0</Lines>
  <Paragraphs>0</Paragraphs>
  <TotalTime>29</TotalTime>
  <ScaleCrop>false</ScaleCrop>
  <LinksUpToDate>false</LinksUpToDate>
  <CharactersWithSpaces>1114</CharactersWithSpaces>
  <Application>WPS Office_7.5.1.8994_F1E327BC-269C-435d-A152-05C5408002CA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2025-03-27T02:22:00Z</dcterms:created>
  <dc:creator>六月</dc:creator>
  <cp:lastModifiedBy>ddxing</cp:lastModifiedBy>
  <dcterms:modified xsi:type="dcterms:W3CDTF">2025-07-03T11:33:34Z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2052-7.5.1.8994</vt:lpwstr>
  </property>
  <property fmtid="{D5CDD505-2E9C-101B-9397-08002B2CF9AE}" pid="3" name="ICV">
    <vt:lpwstr>DA77851A453FCEF6A15B656880C5305E_43</vt:lpwstr>
  </property>
  <property fmtid="{D5CDD505-2E9C-101B-9397-08002B2CF9AE}" pid="4" name="KSOTemplateDocerSaveRecord">
    <vt:lpwstr>eyJoZGlkIjoiOTcxZjc4Y2ViNTBlZDVmZTI3YTAxZGE1NWVmM2E2NDEiLCJ1c2VySWQiOiI0MDMzMDA2MzYifQ==</vt:lpwstr>
  </property>
</Properties>
</file>