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42FAE3">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7" name="文本框 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AC2Ayg8AgAAZg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seUaKaw4acf308/f59+fSPjIE9l3BSzNgbzfP0Wahyas9+hM7Cuc6vCL/IhGEdxjxdxRe0JR+do&#10;cNvtjYeUcIxNRjf9yTDAJE9fG+v8OwGKBCOlFpsXNWWHtfNN6jklFNOwKqWMDZSaVFjhZtiNH1wi&#10;CC411ggcmrcGy9fbuiW2heyIvCw0g+EMX5VYfM2cf2QWJwGp4K74BzxyCVgEWouSAuzXf/lDPjYI&#10;o5RUOFkpdV/2zApK5HuNrZv0BoMwivEyGI77eLHXke11RO/VPeDw9nArDY9myPfybOYW1GdcqUWo&#10;iiGmOdZOqT+b976Zd1xJLhaLmITDZ5hf643hAbqRc7H3kJdR6SBTo02rHo5f7FW7KmG+r+8x6+nv&#10;Yf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OGTdwAAAALAQAADwAAAAAAAAABACAAAAAiAAAA&#10;ZHJzL2Rvd25yZXYueG1sUEsBAhQAFAAAAAgAh07iQAC2Ayg8AgAAZgQAAA4AAAAAAAAAAQAgAAAA&#10;KwEAAGRycy9lMm9Eb2MueG1sUEsFBgAAAAAGAAYAWQEAANkFA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2760980</wp:posOffset>
                </wp:positionV>
                <wp:extent cx="6480175" cy="1670685"/>
                <wp:effectExtent l="0" t="0" r="0" b="0"/>
                <wp:wrapNone/>
                <wp:docPr id="8" name="文本框 8"/>
                <wp:cNvGraphicFramePr/>
                <a:graphic xmlns:a="http://schemas.openxmlformats.org/drawingml/2006/main">
                  <a:graphicData uri="http://schemas.microsoft.com/office/word/2010/wordprocessingShape">
                    <wps:wsp>
                      <wps:cNvSpPr txBox="1"/>
                      <wps:spPr>
                        <a:xfrm>
                          <a:off x="0" y="0"/>
                          <a:ext cx="6480175" cy="16706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217.4pt;height:131.55pt;width:510.25pt;z-index:251662336;v-text-anchor:middle;mso-width-relative:page;mso-height-relative:page;" filled="f" stroked="f" coordsize="21600,21600" o:gfxdata="UEsDBAoAAAAAAIdO4kAAAAAAAAAAAAAAAAAEAAAAZHJzL1BLAwQUAAAACACHTuJAV5VB1dsAAAAL&#10;AQAADwAAAGRycy9kb3ducmV2LnhtbE2PsU7DMBRFdyT+wXpILKi1U0xKQ5wOlZAyZGlBSN3c+BFH&#10;je1gu2n5e9yJjk/v6N5zy/XFDGRCH3pnBWRzBgRt61RvOwGfH++zVyAhSqvk4CwK+MUA6+r+rpSF&#10;cme7xWkXO5JCbCikAB3jWFAaWo1Ghrkb0abft/NGxnT6jiovzyncDHTBWE6N7G1q0HLEjcb2uDsZ&#10;AdNXzdV20tE/bZqa1cfmZ7lvhHh8yNgbkIiX+A/DVT+pQ5WcDu5kVSCDgAXPEymAP/M04Qow/pIB&#10;OQjIV8sV0KqktxuqP1BLAwQUAAAACACHTuJAqCq3Fj0CAABpBAAADgAAAGRycy9lMm9Eb2MueG1s&#10;rVTBjtowEL1X6j9YvpckFFiKCCu6iKoS6q5Eq56N45BItse1DQn9gPYPeuql934X39GxAyza9rCH&#10;XsyMZ/LG780M09tWSbIX1tWgc5r1UkqE5lDUepvTTx+Xr8aUOM90wSRokdODcPR29vLFtDET0YcK&#10;ZCEsQRDtJo3JaeW9mSSJ45VQzPXACI3BEqxiHl27TQrLGkRXMumn6ShpwBbGAhfO4e2iC9ITon0O&#10;IJRlzcUC+E4J7TtUKyTzSMlVtXF0Fl9bloL7+7J0whOZU2Tq44lF0N6EM5lN2WRrmalqfnoCe84T&#10;nnBSrNZY9AK1YJ6Rna3/glI1t+Cg9D0OKumIREWQRZY+0WZdMSMiF5TamYvo7v/B8g/7B0vqIqfY&#10;ds0UNvz44/vx5+/jr29kHORpjJtg1tpgnm/fQotDc753eBlYt6VV4Rf5EIyjuIeLuKL1hOPlaDBO&#10;s5shJRxj2egmHY2HASd5/NxY598JUCQYObXYvSgq26+c71LPKaGahmUtZeyg1KTBEq+HafzgEkFw&#10;qbFGINE9Nli+3bQnZhsoDkjMQjcZzvBljcVXzPkHZnEUkAsui7/Ho5SAReBkUVKB/fqv+5CPHcIo&#10;JQ2OVk7dlx2zghL5XmPv3mSDQZjF6AyGN3107HVkcx3RO3UHOL0ZrqXh0Qz5Xp7N0oL6jDs1D1Ux&#10;xDTH2jnl3p6dO9+NPG4lF/N5TMP5M8yv9NrwAN4JOt95KOuodRCqU+ekH05g7NZpW8KIX/sx6/Ef&#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V5VB1dsAAAALAQAADwAAAAAAAAABACAAAAAiAAAA&#10;ZHJzL2Rvd25yZXYueG1sUEsBAhQAFAAAAAgAh07iQKgqtxY9AgAAaQQAAA4AAAAAAAAAAQAgAAAA&#10;KgEAAGRycy9lMm9Eb2MueG1sUEsFBgAAAAAGAAYAWQEAANkFAAAAAA==&#10;">
                <v:fill on="f" focussize="0,0"/>
                <v:stroke on="f" weight="0.5pt"/>
                <v:imagedata o:title=""/>
                <o:lock v:ext="edit" aspectratio="f"/>
                <v:textbox>
                  <w:txbxContent>
                    <w:p w14:paraId="6503B3CB">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txbxContent>
                </v:textbox>
              </v:shape>
            </w:pict>
          </mc:Fallback>
        </mc:AlternateContent>
      </w:r>
    </w:p>
    <w:p w14:paraId="5D1102E6">
      <w:pPr>
        <w:pStyle w:val="2"/>
        <w:bidi w:val="0"/>
        <w:jc w:val="center"/>
        <w:rPr>
          <w:rFonts w:hint="eastAsia"/>
          <w:color w:val="5B9BD5" w:themeColor="accent1"/>
          <w14:textFill>
            <w14:solidFill>
              <w14:schemeClr w14:val="accent1"/>
            </w14:solidFill>
          </w14:textFill>
        </w:rPr>
      </w:pPr>
    </w:p>
    <w:p w14:paraId="391475EF">
      <w:pPr>
        <w:jc w:val="center"/>
        <w:rPr>
          <w:rFonts w:hint="eastAsia" w:eastAsiaTheme="minorEastAsia"/>
          <w:lang w:eastAsia="zh-CN"/>
        </w:r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9"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7FC96713">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bookmarkStart w:id="0" w:name="_GoBack"/>
      <w:bookmarkEnd w:id="0"/>
    </w:p>
    <w:p w14:paraId="6828CEE3">
      <w:pPr>
        <w:pStyle w:val="2"/>
        <w:bidi w:val="0"/>
        <w:jc w:val="center"/>
        <w:rPr>
          <w:color w:val="5B9BD5" w:themeColor="accent1"/>
          <w14:textFill>
            <w14:solidFill>
              <w14:schemeClr w14:val="accent1"/>
            </w14:solidFill>
          </w14:textFill>
        </w:rPr>
      </w:pPr>
      <w:r>
        <w:rPr>
          <w:rFonts w:hint="eastAsia"/>
          <w:color w:val="5B9BD5" w:themeColor="accent1"/>
          <w14:textFill>
            <w14:solidFill>
              <w14:schemeClr w14:val="accent1"/>
            </w14:solidFill>
          </w14:textFill>
        </w:rPr>
        <w:t>单元六　信息素养与社会责任</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474D689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6E66C1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default" w:ascii="Times New Roman" w:hAnsi="Times New Roman"/>
                <w:b/>
                <w:color w:val="5B9BD5" w:themeColor="accent1"/>
                <w:szCs w:val="20"/>
                <w14:textFill>
                  <w14:solidFill>
                    <w14:schemeClr w14:val="accent1"/>
                  </w14:solidFill>
                </w14:textFill>
              </w:rPr>
              <w:t xml:space="preserve">  </w:t>
            </w:r>
            <w:r>
              <w:rPr>
                <w:rFonts w:hint="eastAsia" w:ascii="Times New Roman" w:hAnsi="Times New Roman"/>
                <w:b/>
                <w:color w:val="5B9BD5" w:themeColor="accent1"/>
                <w:szCs w:val="20"/>
                <w14:textFill>
                  <w14:solidFill>
                    <w14:schemeClr w14:val="accent1"/>
                  </w14:solidFill>
                </w14:textFill>
              </w:rPr>
              <w:t>题</w:t>
            </w:r>
          </w:p>
        </w:tc>
        <w:tc>
          <w:tcPr>
            <w:tcW w:w="7173" w:type="dxa"/>
            <w:gridSpan w:val="2"/>
            <w:tcBorders>
              <w:tl2br w:val="nil"/>
              <w:tr2bl w:val="nil"/>
            </w:tcBorders>
            <w:vAlign w:val="center"/>
          </w:tcPr>
          <w:p w14:paraId="2FE4352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信息素养与社会责任</w:t>
            </w:r>
          </w:p>
        </w:tc>
      </w:tr>
      <w:tr w14:paraId="173C048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4619F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课</w:t>
            </w:r>
            <w:r>
              <w:rPr>
                <w:rFonts w:hint="eastAsia" w:ascii="Times New Roman" w:hAnsi="宋体"/>
                <w:b/>
                <w:color w:val="5B9BD5" w:themeColor="accent1"/>
                <w:szCs w:val="20"/>
                <w14:textFill>
                  <w14:solidFill>
                    <w14:schemeClr w14:val="accent1"/>
                  </w14:solidFill>
                </w14:textFill>
              </w:rPr>
              <w:t xml:space="preserve"> </w:t>
            </w:r>
            <w:r>
              <w:rPr>
                <w:rFonts w:hint="default" w:ascii="Times New Roman" w:hAnsi="宋体"/>
                <w:b/>
                <w:color w:val="5B9BD5" w:themeColor="accent1"/>
                <w:szCs w:val="20"/>
                <w14:textFill>
                  <w14:solidFill>
                    <w14:schemeClr w14:val="accent1"/>
                  </w14:solidFill>
                </w14:textFill>
              </w:rPr>
              <w:t xml:space="preserve"> 时</w:t>
            </w:r>
          </w:p>
        </w:tc>
        <w:tc>
          <w:tcPr>
            <w:tcW w:w="7173" w:type="dxa"/>
            <w:gridSpan w:val="2"/>
            <w:tcBorders>
              <w:tl2br w:val="nil"/>
              <w:tr2bl w:val="nil"/>
            </w:tcBorders>
            <w:vAlign w:val="center"/>
          </w:tcPr>
          <w:p w14:paraId="63BF64C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 xml:space="preserve"> min）。</w:t>
            </w:r>
          </w:p>
        </w:tc>
      </w:tr>
      <w:tr w14:paraId="69C25F8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2A56CA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教学目标</w:t>
            </w:r>
          </w:p>
        </w:tc>
        <w:tc>
          <w:tcPr>
            <w:tcW w:w="7173" w:type="dxa"/>
            <w:gridSpan w:val="2"/>
            <w:tcBorders>
              <w:tl2br w:val="nil"/>
              <w:tr2bl w:val="nil"/>
            </w:tcBorders>
            <w:vAlign w:val="center"/>
          </w:tcPr>
          <w:p w14:paraId="6DAF5F22">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5FE2016">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了解信息安全及自主可控的要求。</w:t>
            </w:r>
          </w:p>
          <w:p w14:paraId="23946F8F">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掌握信息伦理知识并能有效辨别虚假信息。</w:t>
            </w:r>
          </w:p>
          <w:p w14:paraId="66225FB5">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B495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信息素养与社会责任</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了解信息素养与社会责任是指在信息技术领域，通过对信息行业相关知识的了解，内化形成的职业素养和行为自律能力。</w:t>
            </w:r>
          </w:p>
        </w:tc>
      </w:tr>
      <w:tr w14:paraId="3BE76ED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31B935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教学重</w:t>
            </w:r>
            <w:r>
              <w:rPr>
                <w:rFonts w:hint="eastAsia" w:ascii="Times New Roman" w:hAnsi="宋体"/>
                <w:b/>
                <w:color w:val="5B9BD5" w:themeColor="accent1"/>
                <w:szCs w:val="20"/>
                <w14:textFill>
                  <w14:solidFill>
                    <w14:schemeClr w14:val="accent1"/>
                  </w14:solidFill>
                </w14:textFill>
              </w:rPr>
              <w:t>难</w:t>
            </w:r>
            <w:r>
              <w:rPr>
                <w:rFonts w:hint="default" w:ascii="Times New Roman" w:hAnsi="宋体"/>
                <w:b/>
                <w:color w:val="5B9BD5" w:themeColor="accent1"/>
                <w:szCs w:val="20"/>
                <w14:textFill>
                  <w14:solidFill>
                    <w14:schemeClr w14:val="accent1"/>
                  </w14:solidFill>
                </w14:textFill>
              </w:rPr>
              <w:t>点</w:t>
            </w:r>
          </w:p>
        </w:tc>
        <w:tc>
          <w:tcPr>
            <w:tcW w:w="7173" w:type="dxa"/>
            <w:gridSpan w:val="2"/>
            <w:tcBorders>
              <w:tl2br w:val="nil"/>
              <w:tr2bl w:val="nil"/>
            </w:tcBorders>
            <w:vAlign w:val="center"/>
          </w:tcPr>
          <w:p w14:paraId="6ABCE097">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信息素养</w:t>
            </w:r>
          </w:p>
          <w:p w14:paraId="262421B2">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信息技术发展历程和信息安全</w:t>
            </w:r>
          </w:p>
        </w:tc>
      </w:tr>
      <w:tr w14:paraId="641FDEC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22AE6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教学方法</w:t>
            </w:r>
          </w:p>
        </w:tc>
        <w:tc>
          <w:tcPr>
            <w:tcW w:w="7173" w:type="dxa"/>
            <w:gridSpan w:val="2"/>
            <w:tcBorders>
              <w:tl2br w:val="nil"/>
              <w:tr2bl w:val="nil"/>
            </w:tcBorders>
            <w:vAlign w:val="center"/>
          </w:tcPr>
          <w:p w14:paraId="5440B4F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6F6F73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135D3B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教学用具</w:t>
            </w:r>
          </w:p>
        </w:tc>
        <w:tc>
          <w:tcPr>
            <w:tcW w:w="7173" w:type="dxa"/>
            <w:gridSpan w:val="2"/>
            <w:tcBorders>
              <w:tl2br w:val="nil"/>
              <w:tr2bl w:val="nil"/>
            </w:tcBorders>
            <w:vAlign w:val="center"/>
          </w:tcPr>
          <w:p w14:paraId="76457D2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9DA0F5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3FAF8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5B9BD5" w:themeColor="accent1"/>
                <w:szCs w:val="20"/>
                <w14:textFill>
                  <w14:solidFill>
                    <w14:schemeClr w14:val="accent1"/>
                  </w14:solidFill>
                </w14:textFill>
              </w:rPr>
            </w:pPr>
            <w:r>
              <w:rPr>
                <w:rFonts w:hint="default" w:ascii="Times New Roman" w:hAnsi="宋体"/>
                <w:b/>
                <w:color w:val="5B9BD5" w:themeColor="accent1"/>
                <w:szCs w:val="20"/>
                <w14:textFill>
                  <w14:solidFill>
                    <w14:schemeClr w14:val="accent1"/>
                  </w14:solidFill>
                </w14:textFill>
              </w:rPr>
              <w:t>教学设计</w:t>
            </w:r>
          </w:p>
        </w:tc>
        <w:tc>
          <w:tcPr>
            <w:tcW w:w="7173" w:type="dxa"/>
            <w:gridSpan w:val="2"/>
            <w:tcBorders>
              <w:tl2br w:val="nil"/>
              <w:tr2bl w:val="nil"/>
            </w:tcBorders>
            <w:vAlign w:val="center"/>
          </w:tcPr>
          <w:p w14:paraId="0EB79A37">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第1节课：考勤（2min）--知识讲解（80min）--作业布置（8min）</w:t>
            </w:r>
          </w:p>
          <w:p w14:paraId="1970F079">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3424D687">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第3节课：知识讲解（80min）--课堂小结（6min）--作业布置（4min）</w:t>
            </w:r>
          </w:p>
          <w:p w14:paraId="0860EF7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06E6AC7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111E6C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5B9BD5" w:themeColor="accent1"/>
                <w:szCs w:val="24"/>
                <w14:textFill>
                  <w14:solidFill>
                    <w14:schemeClr w14:val="accent1"/>
                  </w14:solidFill>
                </w14:textFill>
              </w:rPr>
            </w:pPr>
            <w:r>
              <w:rPr>
                <w:rFonts w:hint="eastAsia" w:ascii="Times New Roman" w:hAnsi="Times New Roman"/>
                <w:b/>
                <w:bCs w:val="0"/>
                <w:color w:val="5B9BD5" w:themeColor="accent1"/>
                <w:szCs w:val="24"/>
                <w14:textFill>
                  <w14:solidFill>
                    <w14:schemeClr w14:val="accent1"/>
                  </w14:solidFill>
                </w14:textFill>
              </w:rPr>
              <w:t>教学过程</w:t>
            </w:r>
          </w:p>
        </w:tc>
        <w:tc>
          <w:tcPr>
            <w:tcW w:w="5807" w:type="dxa"/>
            <w:tcBorders>
              <w:tl2br w:val="nil"/>
              <w:tr2bl w:val="nil"/>
            </w:tcBorders>
            <w:vAlign w:val="center"/>
          </w:tcPr>
          <w:p w14:paraId="0B5D240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645AC13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87969D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6CBF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考勤</w:t>
            </w:r>
          </w:p>
          <w:p w14:paraId="508638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5B9BD5" w:themeColor="accent1"/>
                <w:szCs w:val="24"/>
                <w:lang w:eastAsia="zh-CN"/>
                <w14:textFill>
                  <w14:solidFill>
                    <w14:schemeClr w14:val="accent1"/>
                  </w14:solidFill>
                </w14:textFill>
              </w:rPr>
            </w:pPr>
            <w:r>
              <w:rPr>
                <w:rFonts w:hint="eastAsia" w:ascii="Times New Roman" w:hAnsi="Times New Roman"/>
                <w:b/>
                <w:color w:val="5B9BD5" w:themeColor="accent1"/>
                <w:szCs w:val="24"/>
                <w:lang w:eastAsia="zh-CN"/>
                <w14:textFill>
                  <w14:solidFill>
                    <w14:schemeClr w14:val="accent1"/>
                  </w14:solidFill>
                </w14:textFill>
              </w:rPr>
              <w:t>（</w:t>
            </w:r>
            <w:r>
              <w:rPr>
                <w:rFonts w:hint="eastAsia" w:ascii="Times New Roman" w:hAnsi="Times New Roman"/>
                <w:b/>
                <w:color w:val="5B9BD5" w:themeColor="accent1"/>
                <w:szCs w:val="24"/>
                <w:lang w:val="en-US" w:eastAsia="zh-CN"/>
                <w14:textFill>
                  <w14:solidFill>
                    <w14:schemeClr w14:val="accent1"/>
                  </w14:solidFill>
                </w14:textFill>
              </w:rPr>
              <w:t>2min</w:t>
            </w:r>
            <w:r>
              <w:rPr>
                <w:rFonts w:hint="eastAsia" w:ascii="Times New Roman" w:hAnsi="Times New Roman"/>
                <w:b/>
                <w:color w:val="5B9BD5" w:themeColor="accent1"/>
                <w:szCs w:val="24"/>
                <w:lang w:eastAsia="zh-CN"/>
                <w14:textFill>
                  <w14:solidFill>
                    <w14:schemeClr w14:val="accent1"/>
                  </w14:solidFill>
                </w14:textFill>
              </w:rPr>
              <w:t>）</w:t>
            </w:r>
          </w:p>
        </w:tc>
        <w:tc>
          <w:tcPr>
            <w:tcW w:w="5807" w:type="dxa"/>
            <w:tcBorders>
              <w:tl2br w:val="nil"/>
              <w:tr2bl w:val="nil"/>
            </w:tcBorders>
            <w:vAlign w:val="center"/>
          </w:tcPr>
          <w:p w14:paraId="1655D2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A1148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4232D4C4">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850EFA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1BF679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5F219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3D46B76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编排简单文档</w:t>
            </w:r>
          </w:p>
          <w:p w14:paraId="4F7047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一、信息素养</w:t>
            </w:r>
          </w:p>
          <w:p w14:paraId="2EE7B8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信息素养（Information Literacy）这一概念是美国信息产业协会主席保罗·泽考斯基于 1974 年提出的，并被解释为：利用大量的信息工具及主要信息源使问题得到解答的技能。信息素养的概念一经提出，便得到广泛传播和使用。</w:t>
            </w:r>
          </w:p>
          <w:p w14:paraId="3EBFB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1987 年，信息学家帕特丽夏·布雷维克将信息素养概括为一种“了解提供信息的系统并能鉴别信息价值、选择获取信息的最佳渠道、掌握获取和存储信息的基本技能”。</w:t>
            </w:r>
          </w:p>
          <w:p w14:paraId="42A9A0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1989 年，美国图书馆协会（ALA）下设的“信息素养总统委员会”在其年度报告中对信息素养的含义进行了重新概括：“要成为一个有信息素养的人，就必须能够确定何时需要信息并且能够有效地查询、评价和使用所需要的信息。”</w:t>
            </w:r>
          </w:p>
          <w:p w14:paraId="3E16A6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1992 年，克里斯蒂娜·道尔在《信息素养全美论坛的终结报告》中将信息素养定义为：“一个具有信息素养的人，他能够认识到精确的和完整的信息是作出合理决策的基础，确定对信息的需求，形成基于信息需求的问题，确定潜在的信息源，制订成功的检索方案，从包括基于计算机和其他信息源获取信息、评价信息、组织信息于实际的应用，将新信息与原有的知识体系进行融合及在批判性思考和问题解决的过程中使用信息。”</w:t>
            </w:r>
          </w:p>
          <w:p w14:paraId="27E7C8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总之，信息素养是一种综合能力，涉及各方面的知识，是一种特殊的、涵盖面很宽的能力，它包含人文、技术、经济、法律等诸多因素，与许多学科有着紧密的联系。</w:t>
            </w:r>
          </w:p>
          <w:p w14:paraId="7709C2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二、信息素养的标准</w:t>
            </w:r>
          </w:p>
          <w:p w14:paraId="7C85C5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1998 年，美国图书馆协会和教育传播协会制定了学生学习的 9 大信息素养标准，概括了信息素养的具体内容。</w:t>
            </w:r>
          </w:p>
          <w:p w14:paraId="4F9CAB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（1）能有效地、高效地获取信息。</w:t>
            </w:r>
          </w:p>
          <w:p w14:paraId="1E6340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（2）能熟练地、批判地评价信息。</w:t>
            </w:r>
          </w:p>
          <w:p w14:paraId="7681A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（3）能精确地、创造性地使用信息。</w:t>
            </w:r>
          </w:p>
          <w:p w14:paraId="7279F8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（4）能探求与个人兴趣有关的信息。</w:t>
            </w:r>
          </w:p>
          <w:p w14:paraId="6910A5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（5）能欣赏作品和其他对信息进行创造性表达的内容。</w:t>
            </w:r>
          </w:p>
          <w:p w14:paraId="6E3F1B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（6）能力争在信息查询和知识创新中做到最好。</w:t>
            </w:r>
          </w:p>
          <w:p w14:paraId="389EB4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（7）能认识信息对社会的重要性。</w:t>
            </w:r>
          </w:p>
          <w:p w14:paraId="762D92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（8）能履行与信息和信息技术相关的符合伦理道德的行为。</w:t>
            </w:r>
          </w:p>
          <w:p w14:paraId="2F137D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（9）能积极参与活动来探求和创建信息。</w:t>
            </w:r>
          </w:p>
          <w:p w14:paraId="2E7084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可以看出，该标准极大地丰富了信息素养的内涵，不仅包含了信息的意识层面和技术层面，也包括了信息的道德和社会责任层面。</w:t>
            </w:r>
          </w:p>
          <w:p w14:paraId="2343B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三、信息技术与信息素养的关系</w:t>
            </w:r>
          </w:p>
          <w:p w14:paraId="207F8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技术支持信息素养，通晓信息技术强调对技术的理解、认识和使用技能；而信息素养的重点是内容、传播、分析，包括信息检索及评价，涉及更广的方面。它是一种了解、搜集、评估和利用信息的知识结构，既需要通过熟练的信息技术，也需要通过完善的调查方法、通过鉴别和推理来完成。信息素养是一种信息能力，信息技术是它的一种工具。</w:t>
            </w:r>
          </w:p>
          <w:p w14:paraId="79BF41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四、信息素养的要素</w:t>
            </w:r>
          </w:p>
          <w:p w14:paraId="6A2186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信息素养包括信息意识、信息知识、信息能力、信息道德等 4 个要素。这 4 个要素共同构成一个不可分割的统一体，其中，信息意识是先导，信息知识是基础，信息能力是核心，信息道德是保证。</w:t>
            </w:r>
          </w:p>
          <w:p w14:paraId="20B7D3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五、信息能力</w:t>
            </w:r>
          </w:p>
          <w:p w14:paraId="0BE698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信息能力主要表现为以下 8 个方面。</w:t>
            </w:r>
          </w:p>
          <w:p w14:paraId="15D650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（1）运用信息工具。能熟练使用各种信息工具，特别是网络传播工具。</w:t>
            </w:r>
          </w:p>
          <w:p w14:paraId="3DBB7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（2）获取信息。能根据自己的学习目标有效地收集各种学习资料与信息，能熟练地运用阅读、访问、讨论、参观、实验、检索等获取信息的方法。</w:t>
            </w:r>
          </w:p>
          <w:p w14:paraId="50E04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（3）处理信息。能对收集的信息进行归纳、分类、存储记忆、鉴别、遴选、分析综合、抽象概括和表达等。</w:t>
            </w:r>
          </w:p>
          <w:p w14:paraId="2EFB82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（4）生成信息。在信息收集的基础上，能准确地概述、综合、履行和表达所需要的信息，使之简洁明了、通俗流畅且富有个性特色。</w:t>
            </w:r>
          </w:p>
          <w:p w14:paraId="613F57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（5）创造信息。在多种收集信息的交互作用的基础上，迸发创造思维的火花，产生新信息的生长点，从而创造新信息，达到收集信息的终极目的。</w:t>
            </w:r>
          </w:p>
          <w:p w14:paraId="16F7FF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（6）发挥信息的效益。善于运用接收的信息解决问题，让信息发挥最大的社会效益和经济效益。</w:t>
            </w:r>
          </w:p>
          <w:p w14:paraId="2A9366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（7）信息协作。将信息和信息工具作为跨越时空的、“零距离”的交往和合作中介，使之成为延伸自己的高效手段，同外界建立多种和谐的合作关系。</w:t>
            </w:r>
          </w:p>
          <w:p w14:paraId="49855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8）信息免疫。浩瀚的信息资源往往良莠不齐，人们要有正确的人生观、价值观、甄别能力，以及自控、自律、自我调节能力，能自觉抵御和消除垃圾信息及有害信息的干扰和侵蚀，并且完善合乎时代的信息伦理素养。</w:t>
            </w:r>
          </w:p>
          <w:p w14:paraId="495A87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六、信息伦理</w:t>
            </w:r>
          </w:p>
          <w:p w14:paraId="44D48F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伦理是指涉及信息开发、信息传播、信息管理和利用等方面的伦理要求、伦理准则、伦理规约，以及在此基础上形成的新型的伦理关系。信息伦理又称信息道德，它是调整人们之间及个人和社会之间信息关系的行为规范的总和。</w:t>
            </w:r>
          </w:p>
          <w:p w14:paraId="5129D2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信息伦理不是由国家强行制定和强行执行的，是在信息活动中以善恶为标准，依靠人们的内心信念和特殊社会手段维系的。</w:t>
            </w:r>
          </w:p>
          <w:p w14:paraId="1BC033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信息伦理的结构内容可概括为两个方面、三个层次。</w:t>
            </w:r>
          </w:p>
          <w:p w14:paraId="27000A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 两个方面</w:t>
            </w:r>
          </w:p>
          <w:p w14:paraId="0C65E5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（1）主观方面。主观方面指人类个体在信息活动中以心理活动形式表现出来的道德观念、情感、行为和品质。例如，对信息劳动的价值认同、对非法窃取他人信息成果的鄙视等，即个人信息道德。</w:t>
            </w:r>
          </w:p>
          <w:p w14:paraId="5007E3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（2）客观方面。客观方面指社会信息活动中人与人之间的关系，以及反映这种关系的行为准则与规范。例如，扬善抑恶、权利义务、契约精神等，即社会信息道德。</w:t>
            </w:r>
          </w:p>
          <w:p w14:paraId="4D74D1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 三个层次</w:t>
            </w:r>
          </w:p>
          <w:p w14:paraId="32462E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三个层次包括信息道德意识、信息道德关系、信息道德活动。</w:t>
            </w:r>
          </w:p>
          <w:p w14:paraId="58A672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信息道德意识。信息道德意识是信息伦理的第一个层次，包括与信息相关的道德观念、道德情感、道德意志、道德信念、道德理想等。它是信息道德行为的深层心理动因。信息道德意识集中地体现在信息道德原则、规范和范畴之中。</w:t>
            </w:r>
          </w:p>
          <w:p w14:paraId="29B5CE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信息道德关系。信息道德关系是信息伦理的第二个层次，包括个人与个人的关系、个人与组织的关系、组织与组织的关系。这种关系是建立在一定的权利和义务的基础上，并以一定的信息道德规范形式表现出来的。如联机网络条件下的资源共享，网络成员既有共享网上资源的权利（尽管有级次之分），也要承担相应的义务，遵循网络的管理规则，成员之间的关系是通过大家共同认同的信息道德规范和准则维系的。信息道德关系是一种特殊的社会关系，是被经济关系和其他社会关系所决定、所派生出的人与人之间的信息关系。</w:t>
            </w:r>
          </w:p>
          <w:p w14:paraId="64EBF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（3）信息道德活动。信息道德活动是信息伦理的第三个层次，包括信息道德行为、信息道德评价、信息道德教育、信息道德修养等。</w:t>
            </w:r>
          </w:p>
          <w:p w14:paraId="200D4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①信息道德行为，即人们在信息交流中所采取的有意识的、经过选择的行动。</w:t>
            </w:r>
          </w:p>
          <w:p w14:paraId="097FF8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②信息道德评价，即根据一定的信息道德规范对人们的信息行为进行善恶判断。</w:t>
            </w:r>
          </w:p>
          <w:p w14:paraId="316F66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③信息道德教育，即按一定的信息道德理想对人的品质和性格进行陶冶。</w:t>
            </w:r>
          </w:p>
          <w:p w14:paraId="6C69F8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④信息道德修养，即人们对自己的信息意识和信息行为的自我解剖、自我改造。</w:t>
            </w:r>
          </w:p>
          <w:p w14:paraId="2BA1BB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val="en-US" w:eastAsia="zh-CN"/>
                <w14:textFill>
                  <w14:solidFill>
                    <w14:schemeClr w14:val="tx1"/>
                  </w14:solidFill>
                </w14:textFill>
              </w:rPr>
            </w:pPr>
            <w:r>
              <w:rPr>
                <w:rFonts w:hint="eastAsia" w:ascii="宋体" w:hAnsi="宋体" w:eastAsia="宋体" w:cs="宋体"/>
                <w:b/>
                <w:bCs w:val="0"/>
                <w:color w:val="000000" w:themeColor="text1"/>
                <w:lang w:val="en-US" w:eastAsia="zh-CN"/>
                <w14:textFill>
                  <w14:solidFill>
                    <w14:schemeClr w14:val="tx1"/>
                  </w14:solidFill>
                </w14:textFill>
              </w:rPr>
              <w:t>七、信息社会责任</w:t>
            </w:r>
          </w:p>
          <w:p w14:paraId="0736C2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信息社会责任是指在信息社会中，个体在文化修养、道德规范和行为自律等方面应尽的责任，主要体现在以下方面。</w:t>
            </w:r>
          </w:p>
          <w:p w14:paraId="1155A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（1）在现实世界和虚拟空间中都能遵守相关法律法规，信守信息社会的道德与伦理准则。</w:t>
            </w:r>
          </w:p>
          <w:p w14:paraId="6A6B10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（2）具备较强的信息安全意识与防护能力，能有效维护信息活动中个人、他人的合法权益和公共信息安全。</w:t>
            </w:r>
          </w:p>
          <w:p w14:paraId="6CA421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r>
              <w:rPr>
                <w:rFonts w:hint="eastAsia" w:ascii="宋体" w:hAnsi="宋体" w:eastAsia="宋体" w:cs="宋体"/>
                <w:b w:val="0"/>
                <w:bCs/>
                <w:color w:val="000000" w:themeColor="text1"/>
                <w:lang w:val="en-US" w:eastAsia="zh-CN"/>
                <w14:textFill>
                  <w14:solidFill>
                    <w14:schemeClr w14:val="tx1"/>
                  </w14:solidFill>
                </w14:textFill>
              </w:rPr>
              <w:t>（3）关注信息技术创新所带来的社会问题，对信息技术创新所产生的新观念和新事物，能从社会发展、职业发展的视角进行理性的判断和负责的行动。</w:t>
            </w:r>
          </w:p>
          <w:p w14:paraId="610914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val="en-US" w:eastAsia="zh-CN"/>
                <w14:textFill>
                  <w14:solidFill>
                    <w14:schemeClr w14:val="tx1"/>
                  </w14:solidFill>
                </w14:textFill>
              </w:rPr>
            </w:pPr>
          </w:p>
          <w:p w14:paraId="43E717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45C4154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展示信息素养</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3147439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44D7A5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8</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5894FEC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9504E6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在网络上，我们常常看到一些不文明现象，如传播或转发各种谣言、肆意谩骂侮辱、发布恐怖图片、网络欺诈、盗用他人账号等。请你谈谈对这些不文明行为的看法。</w:t>
            </w:r>
          </w:p>
        </w:tc>
        <w:tc>
          <w:tcPr>
            <w:tcW w:w="1366" w:type="dxa"/>
            <w:tcBorders>
              <w:tl2br w:val="nil"/>
              <w:tr2bl w:val="nil"/>
            </w:tcBorders>
            <w:vAlign w:val="center"/>
          </w:tcPr>
          <w:p w14:paraId="68FC6A0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0E7AA3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09CBEB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2AD3A4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60FA10B0">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178E96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自测任务书</w:t>
            </w:r>
          </w:p>
          <w:p w14:paraId="762E9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上网查询信息素养的有关要求，谈谈信息能力和信息道德对我们的要求。</w:t>
            </w:r>
          </w:p>
          <w:p w14:paraId="345A08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任务分组</w:t>
            </w:r>
          </w:p>
          <w:p w14:paraId="61E56B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969260" cy="690245"/>
                  <wp:effectExtent l="0" t="0" r="254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969260" cy="690245"/>
                          </a:xfrm>
                          <a:prstGeom prst="rect">
                            <a:avLst/>
                          </a:prstGeom>
                          <a:noFill/>
                          <a:ln>
                            <a:noFill/>
                          </a:ln>
                        </pic:spPr>
                      </pic:pic>
                    </a:graphicData>
                  </a:graphic>
                </wp:inline>
              </w:drawing>
            </w:r>
          </w:p>
          <w:p w14:paraId="4DF670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前期准备</w:t>
            </w:r>
          </w:p>
          <w:p w14:paraId="6A7D12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1：上网查询信息素养的有关知识。</w:t>
            </w:r>
          </w:p>
          <w:p w14:paraId="2DF437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2：上网搜索有关信息道德（信息伦理）的视频，进行学习，加深理解。</w:t>
            </w:r>
          </w:p>
          <w:p w14:paraId="0ABD85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3：组长召集组员，相互检查信息获取的完成情况。</w:t>
            </w:r>
          </w:p>
          <w:p w14:paraId="24D277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4：每个组员思考自己对信息素养的理解。</w:t>
            </w:r>
          </w:p>
          <w:p w14:paraId="611F8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工作实施</w:t>
            </w:r>
          </w:p>
          <w:p w14:paraId="22E45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引导操作：每个同学列举三以上的违反信息道德的案例。</w:t>
            </w:r>
          </w:p>
          <w:p w14:paraId="6CED13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评价反馈</w:t>
            </w:r>
          </w:p>
          <w:p w14:paraId="21E968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（1）小组内作品相互展示、观摩。</w:t>
            </w:r>
          </w:p>
          <w:p w14:paraId="4E8D87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（2）总结组内成员作品的优缺点。</w:t>
            </w:r>
          </w:p>
          <w:p w14:paraId="36E33D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（3）根据同学提出的合理建议，修改自己的作品。</w:t>
            </w:r>
          </w:p>
          <w:p w14:paraId="570A12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（4）评价考核。</w:t>
            </w:r>
          </w:p>
          <w:p w14:paraId="436257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432C9C3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33E589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2ED533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1A17BCD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F76AD82">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在网络这个虚拟的社会中，讲文明是每个网民都需要践行的准则。你的每一次转发、每一条评论，都不仅仅是个人行为，也是构筑文明和谐网络环境的基石。谈谈如何才能成为文明网民。</w:t>
            </w:r>
          </w:p>
        </w:tc>
        <w:tc>
          <w:tcPr>
            <w:tcW w:w="1366" w:type="dxa"/>
            <w:tcBorders>
              <w:tl2br w:val="nil"/>
              <w:tr2bl w:val="nil"/>
            </w:tcBorders>
            <w:vAlign w:val="center"/>
          </w:tcPr>
          <w:p w14:paraId="02C6DD7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DA2ADD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2865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479DF3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80</w:t>
            </w:r>
            <w:r>
              <w:rPr>
                <w:rFonts w:hint="eastAsia" w:ascii="Times New Roman" w:hAnsi="Times New Roman"/>
                <w:color w:val="5B9BD5" w:themeColor="accent1"/>
                <w:szCs w:val="24"/>
                <w14:textFill>
                  <w14:solidFill>
                    <w14:schemeClr w14:val="accent1"/>
                  </w14:solidFill>
                </w14:textFill>
              </w:rPr>
              <w:t>min）</w:t>
            </w:r>
          </w:p>
        </w:tc>
        <w:tc>
          <w:tcPr>
            <w:tcW w:w="5807" w:type="dxa"/>
            <w:tcBorders>
              <w:tl2br w:val="nil"/>
              <w:tr2bl w:val="nil"/>
            </w:tcBorders>
            <w:vAlign w:val="center"/>
          </w:tcPr>
          <w:p w14:paraId="4578CED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编排复杂文档</w:t>
            </w:r>
          </w:p>
          <w:p w14:paraId="06F7D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一、信息技术的发展历程</w:t>
            </w:r>
          </w:p>
          <w:p w14:paraId="314B7D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信息技术的发展经历了漫长时期，一般认为分为下面 5 个阶段。</w:t>
            </w:r>
          </w:p>
          <w:p w14:paraId="75589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第一阶段是语言的使用</w:t>
            </w:r>
          </w:p>
          <w:p w14:paraId="1D2708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语言成为人类进行思想交流和信息传播不可缺少的工具。</w:t>
            </w:r>
          </w:p>
          <w:p w14:paraId="4984F6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第二阶段是文字的出现和使用</w:t>
            </w:r>
          </w:p>
          <w:p w14:paraId="1DACA2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文字使人类对信息的保存和传播取得重大突破，较大地超越了时间和地域的局限。例如，古代陶器上的符号，记载商朝社会生产状况和阶级关系的甲骨文，商周青铜器上的金文，等等。</w:t>
            </w:r>
          </w:p>
          <w:p w14:paraId="38FF1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第三阶段是印刷术的发明和使用</w:t>
            </w:r>
          </w:p>
          <w:p w14:paraId="7B0B8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印刷术使书籍、报刊成为重要的信息储存和传播的媒介。</w:t>
            </w:r>
          </w:p>
          <w:p w14:paraId="35615F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例如，汉朝以前使用竹木简或帛做书写材料，东汉时蔡伦改进造纸术，从后唐到后周封建政府雕版刊印儒家经书，北宋毕昇发明活字印刷术，等等。</w:t>
            </w:r>
          </w:p>
          <w:p w14:paraId="1ED5E9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第四阶段是电报、电话、广播和电视的发明和普及</w:t>
            </w:r>
          </w:p>
          <w:p w14:paraId="6F39AB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 世纪中叶以后，随着电报和电话的发明、电磁波的发现，人类通信产生了根本性的变革，实现了使用金属导线上的电脉冲来传递信息及通过电磁波来进行无线通信。</w:t>
            </w:r>
          </w:p>
          <w:p w14:paraId="60DE66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1837 年，美国人莫尔斯研制了世界上第一台有线电报机。电报机利用电磁感应原理，使电磁体上连着的笔发生转动，从而在纸带上画出点、线符号。这些符号的适当组合（称为莫尔斯电码），可以表示全部字母，于是文字就可以经电线传送出去了。</w:t>
            </w:r>
          </w:p>
          <w:p w14:paraId="4F5CB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1844 年 5 月 24 日，人类历史上的第一份电报从美国国会大厦传送到了 40 英里外的巴尔的摩城。</w:t>
            </w:r>
          </w:p>
          <w:p w14:paraId="1BF6A6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1864 年，英国著名物理学家麦克斯韦发表了一篇论文《电磁场的动力学理论》，预言了电磁波的存在。</w:t>
            </w:r>
          </w:p>
          <w:p w14:paraId="4DC07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1876 年 3 月 10 日，美国人贝尔用自制的电话同他的助手通了话。</w:t>
            </w:r>
          </w:p>
          <w:p w14:paraId="38CD09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1895 年，电影问世。</w:t>
            </w:r>
          </w:p>
          <w:p w14:paraId="795711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1895 年，俄国人波波夫和意大利人马可尼分别成功地进行了无线电通信实验。</w:t>
            </w:r>
          </w:p>
          <w:p w14:paraId="41B942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1920 年，美国无线电专家康拉德在匹兹堡建立了世界上第一家商业无线电广播电台，从此广播事业在世界各地蓬勃发展，收音机成为人们了解时事新闻的方便途径。</w:t>
            </w:r>
          </w:p>
          <w:p w14:paraId="3BA1DD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1925 年，英国首次播映电视。</w:t>
            </w:r>
          </w:p>
          <w:p w14:paraId="5A5C0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1933 年，法国人克拉维尔建立了英法之间的第一条商用微波无线电线路，推动了无线电技术的进一步发展。</w:t>
            </w:r>
          </w:p>
          <w:p w14:paraId="127785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另外，静电复印机、磁性录音机、雷达、激光器都是信息技术史上的重要发明。</w:t>
            </w:r>
          </w:p>
          <w:p w14:paraId="2E1AAB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第五阶段是电子计算机和现代通信技术的使用</w:t>
            </w:r>
          </w:p>
          <w:p w14:paraId="7663A0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随着电子技术的高速发展，军事、科研迫切需要解决的计算工具问题也大大得到改进，1946 年，由美国宾夕法尼亚大学研制的第一台电子计算机诞生了。计算机的发展历经电子管、晶体管、集成电路、大规模集成电路时代，目前正在研究第五代智能计算机。</w:t>
            </w:r>
          </w:p>
          <w:p w14:paraId="1B4C03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计算机的发展过程中，为了解决资源共享问题，单一计算机很快发展成计算机联网，实现了计算机之间的数据通信、数据共享。通信介质从普通导线、同轴电缆发展到双绞线、光纤导线、光缆。电子计算机的输入输出设备也飞速发展起来，扫描仪、绘图仪、音（视）频设备等，使计算机如虎添翼，可以处理更多的复杂问题。</w:t>
            </w:r>
          </w:p>
          <w:p w14:paraId="15800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 世纪 80 年代末多媒体技术的兴起，使计算机具备了综合处理文字、声音、图像等各种形式信息的能力，日益成为信息处理最重要和必不可少的工具。人类也由工业社会转入信息社会，各国也在信息技术研究方面投入大量资金，构建“信息高速公路”。</w:t>
            </w:r>
          </w:p>
          <w:p w14:paraId="13110B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二、从华为发展史看中国信息技术的发展</w:t>
            </w:r>
          </w:p>
          <w:p w14:paraId="254CB5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华为技术有限公司创立于 1987 年，是全球领先的信息与通信技术（ICT）基础设施和智能终端提供商。</w:t>
            </w:r>
          </w:p>
          <w:p w14:paraId="48AB33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华为发展历史的第一阶段（1987—1994 年）</w:t>
            </w:r>
          </w:p>
          <w:p w14:paraId="3A149C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1987 年，任正非与 5 位合伙人共同出资 2 万元成立了华为技术有限公司。在这一时期，华为在产品开发战略上主要采取的是跟随战略，先是代理香港公司的产品，随后逐渐演变为自主开发产品的集中化战略。</w:t>
            </w:r>
          </w:p>
          <w:p w14:paraId="59FAB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在市场竞争战略上采取单一产品的持续开发与生产，采用农村包围城市的销售策略，通过低成本的方式迅速抢占市场，扩大市场占有率，也扩大了公司的规模。</w:t>
            </w:r>
          </w:p>
          <w:p w14:paraId="0B7BEA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华为发展历史的第二阶段（1995—2003 年）</w:t>
            </w:r>
          </w:p>
          <w:p w14:paraId="64746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个阶段华为的侧重点是：在产品开发战略上，由单一集中化向横向一体化发展；地域方面，由聚焦国内市场向同时面向国内和国际市场、国际市场优先转变；市场拓展方面，依然沿用的是“农村包围城市”的发展战略，选择从发展中国家开始做起，以低成本战略，逐步将产品打入发达国家市场。</w:t>
            </w:r>
          </w:p>
          <w:p w14:paraId="4EAEED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华为发展历史的第三阶段（2004—2012 年）</w:t>
            </w:r>
          </w:p>
          <w:p w14:paraId="0BF55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华为在产品开发战略上采取了纵向一体化、多元化和国际化并举的战略；在市场竞争战略上，采取与“合作伙伴”共赢的战略。公司也由全面通信解决方案电信设备提供商向提供端到端通信解决方案和客户或市场驱动型的电信设备服务商转型。</w:t>
            </w:r>
          </w:p>
          <w:p w14:paraId="378312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华为发展历史的第四阶段（2013 年到现在及未来的几年时间）</w:t>
            </w:r>
          </w:p>
          <w:p w14:paraId="6D7CDF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华为公司在这个阶段设立基于客户、产品和区域三个纬度的组织架构，各组织共同为客户创造价值，对公司的财务绩效有效增长、市场竞争力提升和客户满意度负责。</w:t>
            </w:r>
          </w:p>
          <w:p w14:paraId="1D2D5D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三、信息安全</w:t>
            </w:r>
          </w:p>
          <w:p w14:paraId="656E36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信息安全已经成为影响国家安全的一个重要因素，它直接关系到国家的金融环境、意识形态、政治氛围等各个方面。信息安全问题无忧，国家安全和社会稳定就有了可靠的保障。国际标准化组织（ISO）对信息安全的定义为：为数据处理系统建立和采用的技术、管理上的安全保护，为的是保护计算机硬件、软件、数据不因偶然和恶意的原因而遭到破坏、更改和泄露。</w:t>
            </w:r>
          </w:p>
          <w:p w14:paraId="63E14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随着互联网的普及，信息安全指向用于保护传输的信息和防御各种攻击的措施，具体需求如下。</w:t>
            </w:r>
          </w:p>
          <w:p w14:paraId="289C6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（1）保密性：系统中的信息只能由授权的用户访问。</w:t>
            </w:r>
          </w:p>
          <w:p w14:paraId="4D6854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（2）完整性：系统中的资源只能由授权的用户进行修改，以确保信息资源没有被篡改。</w:t>
            </w:r>
          </w:p>
          <w:p w14:paraId="6E9EBA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（3）可用性：系统中的资源对授权用户是有效可用的。</w:t>
            </w:r>
          </w:p>
          <w:p w14:paraId="516D0E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（4）可控性：对系统中的信息传播及内容具有控制能力。</w:t>
            </w:r>
          </w:p>
          <w:p w14:paraId="1EDAB6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（5）真实性：验证某个通信参与者的身份与其所申请的一致，确保该通信参与者不是冒名顶替。</w:t>
            </w:r>
          </w:p>
          <w:p w14:paraId="78210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（6）不可否认性：防止通信参与者事后否认参与通信。其中，保密性、完整性和可用性是信息安全的三大基本属性。</w:t>
            </w:r>
          </w:p>
          <w:p w14:paraId="17163C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四、自主可控</w:t>
            </w:r>
          </w:p>
          <w:p w14:paraId="01419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网络空间已成为国家继陆、海、空、天 4 个疆域之后的第五疆域，与其他疆域一样，网络空间也需体现国家主权，保障网络空间安全也就是保障国家主权。</w:t>
            </w:r>
          </w:p>
          <w:p w14:paraId="1133FC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主可控是保障网络安全、信息安全的前提。能自主可控意味着信息安全容易治理，产品和服务一般不存在恶意后门并可以不断改进或修补漏洞；反之，不能自主可控就意味着具有“他控性”，就会受制于人，其后果是信息安全难以治理、产品和服务一般存在恶意后门并难以不断改进或修补</w:t>
            </w:r>
          </w:p>
          <w:p w14:paraId="190B24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漏洞。</w:t>
            </w:r>
          </w:p>
          <w:p w14:paraId="1E8E1B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自主可控是我们国家信息化建设的关键环节，是保护信息安全的重要目标之一，在信息安全方面意义重大。自主可控包含以下几个方面的内容。</w:t>
            </w:r>
          </w:p>
          <w:p w14:paraId="32EE2D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知识产权</w:t>
            </w:r>
          </w:p>
          <w:p w14:paraId="08D3EC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当前的国际竞争格局下，知识产权自主可控十分重要，做不到这一点就一定会受制于人。如果所有知识产权都能自己掌握，当然最好，但实际上不一定能做到，这时，如果部分知识产权能完全被买断，或能买到有足够自主权的授权，也能达到自主可控。然而，如果只能买到自主权不够充分的授权，如某项授权在权利的使用期限、使用方式等方面具有明显的限制，就不能达到知识产权自主可控。目前国家对所支持、扶持的一些项目，要求首先通过知识产权风险评估，才能给予立项，这种做法是正确的、必要的。</w:t>
            </w:r>
          </w:p>
          <w:p w14:paraId="290AAC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技术能力</w:t>
            </w:r>
          </w:p>
          <w:p w14:paraId="3E7050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技术能力自主可控，意味着要有足够规模的、能真正掌握该技术的科技队伍。技术能力可以分为一般技术能力、产业化能力、构建产业链能力和构建产业生态系统能力等层次。</w:t>
            </w:r>
          </w:p>
          <w:p w14:paraId="05071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产业化能力的自主可控要求使技术不能仅停留在样品或试验阶段，而应能转化为大规模的产品和服务。</w:t>
            </w:r>
          </w:p>
          <w:p w14:paraId="3B2AFE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产业链的自主可控要求在实现产业化的基础上，围绕产品和服务，构建一个比较完整的产业链，以便不受产业链上下游的制约，具备足够的竞争力。</w:t>
            </w:r>
          </w:p>
          <w:p w14:paraId="37569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产业生态系统的自主可控要求能营造一个支撑该产业链的生态系统。</w:t>
            </w:r>
          </w:p>
          <w:p w14:paraId="5B1565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国产资质</w:t>
            </w:r>
          </w:p>
          <w:p w14:paraId="2D747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来说，“国产”产品和服务容易符合自主可控要求，因此实行“国产”替代对于达到自主可控是完全必要的。不过现在对于“国产”还没有统一的界定标准。为了防止出现“假国产”，可以对产品和服务实行“增值”评估，防止进口硬件通过“贴牌”或“组装”变成“国产”；防止进口软件和服务通过“国产”系统集成商将它们集成在“国产”解决方案中，变成“国产”软件和服务。</w:t>
            </w:r>
          </w:p>
          <w:p w14:paraId="508567F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18024F9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1"/>
                <w:szCs w:val="21"/>
                <w:lang w:val="en-US" w:eastAsia="zh-CN" w:bidi="ar"/>
              </w:rPr>
            </w:pPr>
          </w:p>
          <w:p w14:paraId="7F2762C4">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4BE74D5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通过教师讲解，了解信息技术发展历程和信息安全的基本理论知识。</w:t>
            </w:r>
          </w:p>
        </w:tc>
      </w:tr>
      <w:tr w14:paraId="008397B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437D5F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5B9BD5" w:themeColor="accent1"/>
                <w:kern w:val="2"/>
                <w:sz w:val="24"/>
                <w:szCs w:val="24"/>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课堂小结</w:t>
            </w:r>
          </w:p>
          <w:p w14:paraId="0A02FD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color w:val="5B9BD5" w:themeColor="accent1"/>
                <w:kern w:val="2"/>
                <w:sz w:val="21"/>
                <w:szCs w:val="21"/>
                <w:lang w:val="en-US" w:eastAsia="zh-CN" w:bidi="ar"/>
                <w14:textFill>
                  <w14:solidFill>
                    <w14:schemeClr w14:val="accent1"/>
                  </w14:solidFill>
                </w14:textFill>
              </w:rPr>
              <w:t>6</w:t>
            </w:r>
            <w:r>
              <w:rPr>
                <w:rFonts w:hint="default" w:ascii="Times New Roman" w:hAnsi="Times New Roman" w:eastAsia="宋体" w:cs="Times New Roman"/>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25EE452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9260183">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编排复杂文档</w:t>
            </w:r>
            <w:r>
              <w:rPr>
                <w:rFonts w:hint="eastAsia" w:ascii="宋体" w:hAnsi="宋体" w:cs="宋体"/>
                <w:b/>
                <w:bCs w:val="0"/>
                <w:kern w:val="0"/>
                <w:sz w:val="21"/>
                <w:szCs w:val="21"/>
                <w:lang w:val="en-US" w:eastAsia="zh-CN" w:bidi="ar"/>
              </w:rPr>
              <w:t>，让学生知道使用“模板”创建文档不仅节省了格式化编排的时间，还可以保持同类文档格式的严格一致。</w:t>
            </w:r>
          </w:p>
        </w:tc>
        <w:tc>
          <w:tcPr>
            <w:tcW w:w="1366" w:type="dxa"/>
            <w:tcBorders>
              <w:tl2br w:val="nil"/>
              <w:tr2bl w:val="nil"/>
            </w:tcBorders>
            <w:vAlign w:val="center"/>
          </w:tcPr>
          <w:p w14:paraId="041F77F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C99F36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73A9A5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5B9BD5" w:themeColor="accent1"/>
                <w:kern w:val="2"/>
                <w:sz w:val="21"/>
                <w:szCs w:val="21"/>
                <w:lang w:val="en-US" w:eastAsia="zh-CN" w:bidi="ar-SA"/>
                <w14:textFill>
                  <w14:solidFill>
                    <w14:schemeClr w14:val="accent1"/>
                  </w14:solidFill>
                </w14:textFill>
              </w:rPr>
            </w:pPr>
            <w:r>
              <w:rPr>
                <w:rFonts w:hint="eastAsia" w:ascii="微软雅黑" w:hAnsi="微软雅黑" w:eastAsia="微软雅黑" w:cs="微软雅黑"/>
                <w:b/>
                <w:bCs w:val="0"/>
                <w:color w:val="5B9BD5" w:themeColor="accent1"/>
                <w:kern w:val="2"/>
                <w:sz w:val="24"/>
                <w:szCs w:val="24"/>
                <w:lang w:val="en-US" w:eastAsia="zh-CN" w:bidi="ar"/>
                <w14:textFill>
                  <w14:solidFill>
                    <w14:schemeClr w14:val="accent1"/>
                  </w14:solidFill>
                </w14:textFill>
              </w:rPr>
              <w:t>作业布置</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r>
              <w:rPr>
                <w:rFonts w:hint="eastAsia" w:ascii="Times New Roman" w:hAnsi="Times New Roman" w:cs="Times New Roman"/>
                <w:b w:val="0"/>
                <w:bCs w:val="0"/>
                <w:color w:val="5B9BD5" w:themeColor="accent1"/>
                <w:kern w:val="2"/>
                <w:sz w:val="21"/>
                <w:szCs w:val="21"/>
                <w:lang w:val="en-US" w:eastAsia="zh-CN" w:bidi="ar"/>
                <w14:textFill>
                  <w14:solidFill>
                    <w14:schemeClr w14:val="accent1"/>
                  </w14:solidFill>
                </w14:textFill>
              </w:rPr>
              <w:t>4</w:t>
            </w:r>
            <w:r>
              <w:rPr>
                <w:rFonts w:hint="default" w:ascii="Times New Roman" w:hAnsi="Times New Roman" w:eastAsia="宋体" w:cs="Times New Roman"/>
                <w:b w:val="0"/>
                <w:bCs w:val="0"/>
                <w:color w:val="5B9BD5" w:themeColor="accent1"/>
                <w:kern w:val="2"/>
                <w:sz w:val="21"/>
                <w:szCs w:val="21"/>
                <w:lang w:val="en-US" w:eastAsia="zh-CN" w:bidi="ar"/>
                <w14:textFill>
                  <w14:solidFill>
                    <w14:schemeClr w14:val="accent1"/>
                  </w14:solidFill>
                </w14:textFill>
              </w:rPr>
              <w:t>min</w:t>
            </w:r>
            <w:r>
              <w:rPr>
                <w:rFonts w:hint="eastAsia" w:ascii="宋体" w:hAnsi="宋体" w:eastAsia="宋体" w:cs="宋体"/>
                <w:b w:val="0"/>
                <w:bCs w:val="0"/>
                <w:color w:val="5B9BD5" w:themeColor="accent1"/>
                <w:kern w:val="2"/>
                <w:sz w:val="21"/>
                <w:szCs w:val="21"/>
                <w:lang w:val="en-US" w:eastAsia="zh-CN" w:bidi="ar"/>
                <w14:textFill>
                  <w14:solidFill>
                    <w14:schemeClr w14:val="accent1"/>
                  </w14:solidFill>
                </w14:textFill>
              </w:rPr>
              <w:t>）</w:t>
            </w:r>
          </w:p>
        </w:tc>
        <w:tc>
          <w:tcPr>
            <w:tcW w:w="5807" w:type="dxa"/>
            <w:tcBorders>
              <w:tl2br w:val="nil"/>
              <w:tr2bl w:val="nil"/>
            </w:tcBorders>
            <w:vAlign w:val="center"/>
          </w:tcPr>
          <w:p w14:paraId="7E40B9A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1FF112D">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谈谈信息安全的重要性。我们应该怎么做才能尽最大可能保证我们的信息安全？</w:t>
            </w:r>
          </w:p>
        </w:tc>
        <w:tc>
          <w:tcPr>
            <w:tcW w:w="1366" w:type="dxa"/>
            <w:tcBorders>
              <w:tl2br w:val="nil"/>
              <w:tr2bl w:val="nil"/>
            </w:tcBorders>
            <w:vAlign w:val="center"/>
          </w:tcPr>
          <w:p w14:paraId="27C19468">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B6FEDE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5462D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5B9BD5" w:themeColor="accent1"/>
                <w:sz w:val="24"/>
                <w:szCs w:val="24"/>
                <w:lang w:eastAsia="zh-CN"/>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知识讲解</w:t>
            </w:r>
          </w:p>
          <w:p w14:paraId="62E8D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5B9BD5" w:themeColor="accent1"/>
                <w:szCs w:val="24"/>
                <w14:textFill>
                  <w14:solidFill>
                    <w14:schemeClr w14:val="accent1"/>
                  </w14:solidFill>
                </w14:textFill>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40</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5807" w:type="dxa"/>
            <w:tcBorders>
              <w:tl2br w:val="nil"/>
              <w:tr2bl w:val="nil"/>
            </w:tcBorders>
            <w:vAlign w:val="center"/>
          </w:tcPr>
          <w:p w14:paraId="02A0EBA7">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3179C4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自测任务书</w:t>
            </w:r>
          </w:p>
          <w:p w14:paraId="0F17B5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上网查询信息技术的发展史、信息安全、自主可控的相关知识，分别列出不少于三项影响信息安全的案例。</w:t>
            </w:r>
          </w:p>
          <w:p w14:paraId="2FB778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任务分组</w:t>
            </w:r>
          </w:p>
          <w:p w14:paraId="2CF8A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905125" cy="698500"/>
                  <wp:effectExtent l="0" t="0" r="952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905125" cy="698500"/>
                          </a:xfrm>
                          <a:prstGeom prst="rect">
                            <a:avLst/>
                          </a:prstGeom>
                          <a:noFill/>
                          <a:ln>
                            <a:noFill/>
                          </a:ln>
                        </pic:spPr>
                      </pic:pic>
                    </a:graphicData>
                  </a:graphic>
                </wp:inline>
              </w:drawing>
            </w:r>
          </w:p>
          <w:p w14:paraId="556E2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前期准备</w:t>
            </w:r>
          </w:p>
          <w:p w14:paraId="1EFB25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1：查询有关信息技术的发展史、信息安全、自主可控的相关知识，学习相关视频、微课。</w:t>
            </w:r>
          </w:p>
          <w:p w14:paraId="55E4EC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2：搜索影响信息安全的相关案例。</w:t>
            </w:r>
          </w:p>
          <w:p w14:paraId="5E4CEB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3：组长召集组员，相互检查任务预备情况。</w:t>
            </w:r>
          </w:p>
          <w:p w14:paraId="4715F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引导问题 4：每个组员思考自己对信息安全、自主可控的体会。</w:t>
            </w:r>
          </w:p>
          <w:p w14:paraId="7C042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工作实施</w:t>
            </w:r>
          </w:p>
          <w:p w14:paraId="52647A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引导操作：小组内每个同学根据自己的体会分别说出信息安全、自主可控的重要性，并分别说出不少于三项影响信息安全的典型案例。</w:t>
            </w:r>
          </w:p>
          <w:p w14:paraId="0743CC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评价反馈</w:t>
            </w:r>
          </w:p>
          <w:p w14:paraId="5F3E86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（1）小组内作品相互展示、观摩。</w:t>
            </w:r>
          </w:p>
          <w:p w14:paraId="207FA9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（2）总结组内成员作品的优缺点。</w:t>
            </w:r>
          </w:p>
          <w:p w14:paraId="1EA5B0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（3）根据同学提出的合理建议，修改自己的作品。</w:t>
            </w:r>
          </w:p>
          <w:p w14:paraId="39E97B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（4）评价考核。</w:t>
            </w:r>
          </w:p>
          <w:p w14:paraId="6E3763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127867C">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6CA489D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350334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5B9BD5" w:themeColor="accent1"/>
                <w:szCs w:val="24"/>
                <w14:textFill>
                  <w14:solidFill>
                    <w14:schemeClr w14:val="accent1"/>
                  </w14:solidFill>
                </w14:textFill>
              </w:rPr>
            </w:pPr>
            <w:r>
              <w:rPr>
                <w:rFonts w:hint="eastAsia" w:ascii="微软雅黑" w:hAnsi="微软雅黑" w:eastAsia="微软雅黑"/>
                <w:b/>
                <w:color w:val="5B9BD5" w:themeColor="accent1"/>
                <w:sz w:val="24"/>
                <w:szCs w:val="24"/>
                <w:lang w:eastAsia="zh-CN"/>
                <w14:textFill>
                  <w14:solidFill>
                    <w14:schemeClr w14:val="accent1"/>
                  </w14:solidFill>
                </w14:textFill>
              </w:rPr>
              <w:t>作业布置</w:t>
            </w:r>
            <w:r>
              <w:rPr>
                <w:rFonts w:hint="eastAsia" w:ascii="Times New Roman" w:hAnsi="Times New Roman"/>
                <w:b w:val="0"/>
                <w:bCs w:val="0"/>
                <w:color w:val="5B9BD5" w:themeColor="accent1"/>
                <w:szCs w:val="24"/>
                <w14:textFill>
                  <w14:solidFill>
                    <w14:schemeClr w14:val="accent1"/>
                  </w14:solidFill>
                </w14:textFill>
              </w:rPr>
              <w:t>（</w:t>
            </w:r>
            <w:r>
              <w:rPr>
                <w:rFonts w:hint="eastAsia" w:ascii="Times New Roman" w:hAnsi="Times New Roman"/>
                <w:b w:val="0"/>
                <w:bCs w:val="0"/>
                <w:color w:val="5B9BD5" w:themeColor="accent1"/>
                <w:szCs w:val="24"/>
                <w:lang w:val="en-US" w:eastAsia="zh-CN"/>
                <w14:textFill>
                  <w14:solidFill>
                    <w14:schemeClr w14:val="accent1"/>
                  </w14:solidFill>
                </w14:textFill>
              </w:rPr>
              <w:t>5</w:t>
            </w:r>
            <w:r>
              <w:rPr>
                <w:rFonts w:hint="eastAsia" w:ascii="Times New Roman" w:hAnsi="Times New Roman"/>
                <w:b w:val="0"/>
                <w:bCs w:val="0"/>
                <w:color w:val="5B9BD5" w:themeColor="accent1"/>
                <w:szCs w:val="24"/>
                <w14:textFill>
                  <w14:solidFill>
                    <w14:schemeClr w14:val="accent1"/>
                  </w14:solidFill>
                </w14:textFill>
              </w:rPr>
              <w:t>min）</w:t>
            </w:r>
          </w:p>
        </w:tc>
        <w:tc>
          <w:tcPr>
            <w:tcW w:w="5807" w:type="dxa"/>
            <w:tcBorders>
              <w:tl2br w:val="nil"/>
              <w:tr2bl w:val="nil"/>
            </w:tcBorders>
            <w:vAlign w:val="center"/>
          </w:tcPr>
          <w:p w14:paraId="336E512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DAFEF96">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谈谈你对国家进行自主可控的信息化建设的看法。</w:t>
            </w:r>
          </w:p>
        </w:tc>
        <w:tc>
          <w:tcPr>
            <w:tcW w:w="1366" w:type="dxa"/>
            <w:tcBorders>
              <w:tl2br w:val="nil"/>
              <w:tr2bl w:val="nil"/>
            </w:tcBorders>
            <w:vAlign w:val="center"/>
          </w:tcPr>
          <w:p w14:paraId="7D2BFFC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659EC8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EF5FB"/>
            <w:vAlign w:val="center"/>
          </w:tcPr>
          <w:p w14:paraId="3128A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教学反思</w:t>
            </w:r>
          </w:p>
        </w:tc>
        <w:tc>
          <w:tcPr>
            <w:tcW w:w="7173" w:type="dxa"/>
            <w:gridSpan w:val="2"/>
            <w:tcBorders>
              <w:tl2br w:val="nil"/>
              <w:tr2bl w:val="nil"/>
            </w:tcBorders>
            <w:vAlign w:val="center"/>
          </w:tcPr>
          <w:p w14:paraId="6DB40A7C">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本节课知识点较少，但非常重要，学生在课堂上做了大量练习题，还针对学生练习中出现的问题进行了细致的辅导，为学生解决了很多以前没有弄懂的问题。</w:t>
            </w:r>
          </w:p>
        </w:tc>
      </w:tr>
    </w:tbl>
    <w:p w14:paraId="6C6976FF"/>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E3F50">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CB0D3">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AD356">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-354965</wp:posOffset>
          </wp:positionH>
          <wp:positionV relativeFrom="paragraph">
            <wp:posOffset>-547370</wp:posOffset>
          </wp:positionV>
          <wp:extent cx="7584440" cy="10727690"/>
          <wp:effectExtent l="0" t="0" r="16510" b="16510"/>
          <wp:wrapNone/>
          <wp:docPr id="6" name="图片 6"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8384EF">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DD6549D"/>
    <w:rsid w:val="24D949F2"/>
    <w:rsid w:val="3B4B3FF6"/>
    <w:rsid w:val="436C72A2"/>
    <w:rsid w:val="4F195FF8"/>
    <w:rsid w:val="4F5A1F2F"/>
    <w:rsid w:val="534361FE"/>
    <w:rsid w:val="5E4D0C7C"/>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7548</Words>
  <Characters>7743</Characters>
  <Lines>1</Lines>
  <Paragraphs>1</Paragraphs>
  <TotalTime>0</TotalTime>
  <ScaleCrop>false</ScaleCrop>
  <LinksUpToDate>false</LinksUpToDate>
  <CharactersWithSpaces>7834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2025-01-20T06:08:32Z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